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F92" w:rsidRDefault="00B22F92" w:rsidP="00B22F92">
      <w:pPr>
        <w:pStyle w:val="Heading3"/>
        <w:spacing w:before="0" w:after="0"/>
        <w:jc w:val="left"/>
        <w:rPr>
          <w:caps/>
          <w:sz w:val="27"/>
          <w:szCs w:val="27"/>
        </w:rPr>
      </w:pPr>
      <w:r>
        <w:rPr>
          <w:caps/>
          <w:sz w:val="27"/>
          <w:szCs w:val="27"/>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505"/>
      </w:tblGrid>
      <w:tr w:rsidR="00B22F92" w:rsidTr="00B22F92">
        <w:trPr>
          <w:tblCellSpacing w:w="15" w:type="dxa"/>
          <w:jc w:val="center"/>
        </w:trPr>
        <w:tc>
          <w:tcPr>
            <w:tcW w:w="0" w:type="auto"/>
            <w:hideMark/>
          </w:tcPr>
          <w:p w:rsidR="00B22F92" w:rsidRDefault="00B22F92">
            <w:pPr>
              <w:pStyle w:val="updated"/>
            </w:pPr>
            <w:r>
              <w:t>e-CFR Data is current as of May 8, 2014</w:t>
            </w:r>
          </w:p>
        </w:tc>
      </w:tr>
    </w:tbl>
    <w:p w:rsidR="00B22F92" w:rsidRPr="00B22F92" w:rsidRDefault="008B0C90" w:rsidP="00B22F92">
      <w:pPr>
        <w:pStyle w:val="fp"/>
        <w:rPr>
          <w:rFonts w:ascii="Arial" w:hAnsi="Arial" w:cs="Arial"/>
          <w:sz w:val="20"/>
          <w:szCs w:val="20"/>
        </w:rPr>
      </w:pPr>
      <w:hyperlink r:id="rId7" w:history="1">
        <w:r w:rsidR="00B22F92" w:rsidRPr="00B22F92">
          <w:rPr>
            <w:rStyle w:val="Hyperlink"/>
            <w:sz w:val="20"/>
            <w:szCs w:val="20"/>
          </w:rPr>
          <w:t>Browse Next</w:t>
        </w:r>
      </w:hyperlink>
      <w:bookmarkStart w:id="0" w:name="_GoBack"/>
      <w:bookmarkEnd w:id="0"/>
    </w:p>
    <w:p w:rsidR="00B22F92" w:rsidRPr="00B22F92" w:rsidRDefault="00B22F92" w:rsidP="00B22F92">
      <w:pPr>
        <w:pStyle w:val="fp"/>
        <w:rPr>
          <w:rFonts w:ascii="Arial" w:hAnsi="Arial" w:cs="Arial"/>
          <w:sz w:val="20"/>
          <w:szCs w:val="20"/>
        </w:rPr>
      </w:pPr>
      <w:r w:rsidRPr="00B22F92">
        <w:rPr>
          <w:rFonts w:ascii="Arial" w:hAnsi="Arial" w:cs="Arial"/>
          <w:sz w:val="20"/>
          <w:szCs w:val="20"/>
        </w:rPr>
        <w:t xml:space="preserve">Title 40: Protection of Environment </w:t>
      </w:r>
      <w:r w:rsidRPr="00B22F92">
        <w:rPr>
          <w:rFonts w:ascii="Arial" w:hAnsi="Arial" w:cs="Arial"/>
          <w:sz w:val="20"/>
          <w:szCs w:val="20"/>
        </w:rPr>
        <w:br/>
      </w:r>
      <w:hyperlink r:id="rId8" w:history="1">
        <w:r w:rsidRPr="00B22F92">
          <w:rPr>
            <w:rStyle w:val="Hyperlink"/>
            <w:sz w:val="20"/>
            <w:szCs w:val="20"/>
          </w:rPr>
          <w:t>PART 60—STANDARDS OF PERFORMANCE FOR NEW STATIONARY SOURCES</w:t>
        </w:r>
      </w:hyperlink>
      <w:r w:rsidRPr="00B22F92">
        <w:rPr>
          <w:rFonts w:ascii="Arial" w:hAnsi="Arial" w:cs="Arial"/>
          <w:sz w:val="20"/>
          <w:szCs w:val="20"/>
        </w:rPr>
        <w:t xml:space="preserve"> </w:t>
      </w:r>
    </w:p>
    <w:p w:rsidR="00B22F92" w:rsidRPr="00B22F92" w:rsidRDefault="008B0C90" w:rsidP="00B22F92">
      <w:pPr>
        <w:rPr>
          <w:rFonts w:ascii="Arial" w:hAnsi="Arial" w:cs="Arial"/>
          <w:sz w:val="20"/>
          <w:szCs w:val="20"/>
        </w:rPr>
      </w:pPr>
      <w:r>
        <w:rPr>
          <w:rFonts w:ascii="Arial" w:hAnsi="Arial" w:cs="Arial"/>
          <w:sz w:val="20"/>
          <w:szCs w:val="20"/>
        </w:rPr>
        <w:pict>
          <v:rect id="_x0000_i1025" style="width:0;height:1.5pt" o:hrstd="t" o:hr="t" fillcolor="#a0a0a0" stroked="f"/>
        </w:pict>
      </w:r>
    </w:p>
    <w:p w:rsidR="00B22F92" w:rsidRPr="00B22F92" w:rsidRDefault="00B22F92" w:rsidP="00B22F92">
      <w:pPr>
        <w:pStyle w:val="Heading2"/>
        <w:jc w:val="left"/>
        <w:rPr>
          <w:rFonts w:ascii="Arial" w:hAnsi="Arial" w:cs="Arial"/>
          <w:sz w:val="20"/>
          <w:szCs w:val="20"/>
        </w:rPr>
      </w:pPr>
      <w:bookmarkStart w:id="1" w:name="_top"/>
      <w:bookmarkEnd w:id="1"/>
      <w:r w:rsidRPr="00B22F92">
        <w:rPr>
          <w:rFonts w:ascii="Arial" w:hAnsi="Arial" w:cs="Arial"/>
          <w:sz w:val="20"/>
          <w:szCs w:val="20"/>
        </w:rPr>
        <w:t>Subpart A—General Provisions</w:t>
      </w:r>
    </w:p>
    <w:p w:rsidR="00B22F92" w:rsidRPr="00B22F92" w:rsidRDefault="008B0C90" w:rsidP="00B22F92">
      <w:pPr>
        <w:rPr>
          <w:rFonts w:ascii="Arial" w:hAnsi="Arial" w:cs="Arial"/>
          <w:sz w:val="20"/>
          <w:szCs w:val="20"/>
        </w:rPr>
      </w:pPr>
      <w:r>
        <w:rPr>
          <w:rFonts w:ascii="Arial" w:hAnsi="Arial" w:cs="Arial"/>
          <w:sz w:val="20"/>
          <w:szCs w:val="20"/>
        </w:rPr>
        <w:pict>
          <v:rect id="_x0000_i1026" style="width:0;height:1.5pt" o:hrstd="t" o:hr="t" fillcolor="#a0a0a0" stroked="f"/>
        </w:pict>
      </w:r>
    </w:p>
    <w:p w:rsidR="00B22F92" w:rsidRPr="00B22F92" w:rsidRDefault="00B22F92" w:rsidP="00B22F92">
      <w:pPr>
        <w:rPr>
          <w:rFonts w:ascii="Arial" w:hAnsi="Arial" w:cs="Arial"/>
          <w:sz w:val="20"/>
          <w:szCs w:val="20"/>
        </w:rPr>
      </w:pPr>
      <w:r w:rsidRPr="00B22F92">
        <w:rPr>
          <w:rFonts w:ascii="Arial" w:hAnsi="Arial" w:cs="Arial"/>
          <w:b/>
          <w:bCs/>
          <w:sz w:val="20"/>
          <w:szCs w:val="20"/>
        </w:rPr>
        <w:t>Contents</w:t>
      </w:r>
      <w:r w:rsidRPr="00B22F92">
        <w:rPr>
          <w:rFonts w:ascii="Arial" w:hAnsi="Arial" w:cs="Arial"/>
          <w:sz w:val="20"/>
          <w:szCs w:val="20"/>
        </w:rPr>
        <w:br/>
      </w:r>
      <w:hyperlink r:id="rId9" w:anchor="40:7.0.1.1.1.1.151.1" w:history="1">
        <w:r w:rsidRPr="00B22F92">
          <w:rPr>
            <w:rStyle w:val="Hyperlink"/>
            <w:sz w:val="20"/>
            <w:szCs w:val="20"/>
          </w:rPr>
          <w:t>§60.1   Applicability.</w:t>
        </w:r>
      </w:hyperlink>
      <w:r w:rsidRPr="00B22F92">
        <w:rPr>
          <w:rFonts w:ascii="Arial" w:hAnsi="Arial" w:cs="Arial"/>
          <w:sz w:val="20"/>
          <w:szCs w:val="20"/>
        </w:rPr>
        <w:br/>
      </w:r>
      <w:hyperlink r:id="rId10" w:anchor="40:7.0.1.1.1.1.151.2" w:history="1">
        <w:r w:rsidRPr="00B22F92">
          <w:rPr>
            <w:rStyle w:val="Hyperlink"/>
            <w:sz w:val="20"/>
            <w:szCs w:val="20"/>
          </w:rPr>
          <w:t>§60.2   Definitions.</w:t>
        </w:r>
      </w:hyperlink>
      <w:r w:rsidRPr="00B22F92">
        <w:rPr>
          <w:rFonts w:ascii="Arial" w:hAnsi="Arial" w:cs="Arial"/>
          <w:sz w:val="20"/>
          <w:szCs w:val="20"/>
        </w:rPr>
        <w:br/>
      </w:r>
      <w:hyperlink r:id="rId11" w:anchor="40:7.0.1.1.1.1.151.3" w:history="1">
        <w:r w:rsidRPr="00B22F92">
          <w:rPr>
            <w:rStyle w:val="Hyperlink"/>
            <w:sz w:val="20"/>
            <w:szCs w:val="20"/>
          </w:rPr>
          <w:t>§60.3   Units and abbreviations.</w:t>
        </w:r>
      </w:hyperlink>
      <w:r w:rsidRPr="00B22F92">
        <w:rPr>
          <w:rFonts w:ascii="Arial" w:hAnsi="Arial" w:cs="Arial"/>
          <w:sz w:val="20"/>
          <w:szCs w:val="20"/>
        </w:rPr>
        <w:br/>
      </w:r>
      <w:hyperlink r:id="rId12" w:anchor="40:7.0.1.1.1.1.151.4" w:history="1">
        <w:r w:rsidRPr="00B22F92">
          <w:rPr>
            <w:rStyle w:val="Hyperlink"/>
            <w:sz w:val="20"/>
            <w:szCs w:val="20"/>
          </w:rPr>
          <w:t>§60.4   Address.</w:t>
        </w:r>
      </w:hyperlink>
      <w:r w:rsidRPr="00B22F92">
        <w:rPr>
          <w:rFonts w:ascii="Arial" w:hAnsi="Arial" w:cs="Arial"/>
          <w:sz w:val="20"/>
          <w:szCs w:val="20"/>
        </w:rPr>
        <w:br/>
      </w:r>
      <w:hyperlink r:id="rId13" w:anchor="40:7.0.1.1.1.1.151.5" w:history="1">
        <w:r w:rsidRPr="00B22F92">
          <w:rPr>
            <w:rStyle w:val="Hyperlink"/>
            <w:sz w:val="20"/>
            <w:szCs w:val="20"/>
          </w:rPr>
          <w:t>§60.5   Determination of construction or modification.</w:t>
        </w:r>
      </w:hyperlink>
      <w:r w:rsidRPr="00B22F92">
        <w:rPr>
          <w:rFonts w:ascii="Arial" w:hAnsi="Arial" w:cs="Arial"/>
          <w:sz w:val="20"/>
          <w:szCs w:val="20"/>
        </w:rPr>
        <w:br/>
      </w:r>
      <w:hyperlink r:id="rId14" w:anchor="40:7.0.1.1.1.1.151.6" w:history="1">
        <w:r w:rsidRPr="00B22F92">
          <w:rPr>
            <w:rStyle w:val="Hyperlink"/>
            <w:sz w:val="20"/>
            <w:szCs w:val="20"/>
          </w:rPr>
          <w:t>§60.6   Review of plans.</w:t>
        </w:r>
      </w:hyperlink>
      <w:r w:rsidRPr="00B22F92">
        <w:rPr>
          <w:rFonts w:ascii="Arial" w:hAnsi="Arial" w:cs="Arial"/>
          <w:sz w:val="20"/>
          <w:szCs w:val="20"/>
        </w:rPr>
        <w:br/>
      </w:r>
      <w:hyperlink r:id="rId15" w:anchor="40:7.0.1.1.1.1.151.7" w:history="1">
        <w:r w:rsidRPr="00B22F92">
          <w:rPr>
            <w:rStyle w:val="Hyperlink"/>
            <w:sz w:val="20"/>
            <w:szCs w:val="20"/>
          </w:rPr>
          <w:t>§60.7   Notification and record keeping.</w:t>
        </w:r>
      </w:hyperlink>
      <w:r w:rsidRPr="00B22F92">
        <w:rPr>
          <w:rFonts w:ascii="Arial" w:hAnsi="Arial" w:cs="Arial"/>
          <w:sz w:val="20"/>
          <w:szCs w:val="20"/>
        </w:rPr>
        <w:br/>
      </w:r>
      <w:hyperlink r:id="rId16" w:anchor="40:7.0.1.1.1.1.151.8" w:history="1">
        <w:r w:rsidRPr="00B22F92">
          <w:rPr>
            <w:rStyle w:val="Hyperlink"/>
            <w:sz w:val="20"/>
            <w:szCs w:val="20"/>
          </w:rPr>
          <w:t>§60.8   Performance tests.</w:t>
        </w:r>
      </w:hyperlink>
      <w:r w:rsidRPr="00B22F92">
        <w:rPr>
          <w:rFonts w:ascii="Arial" w:hAnsi="Arial" w:cs="Arial"/>
          <w:sz w:val="20"/>
          <w:szCs w:val="20"/>
        </w:rPr>
        <w:br/>
      </w:r>
      <w:hyperlink r:id="rId17" w:anchor="40:7.0.1.1.1.1.151.9" w:history="1">
        <w:r w:rsidRPr="00B22F92">
          <w:rPr>
            <w:rStyle w:val="Hyperlink"/>
            <w:sz w:val="20"/>
            <w:szCs w:val="20"/>
          </w:rPr>
          <w:t>§60.9   Availability of information.</w:t>
        </w:r>
      </w:hyperlink>
      <w:r w:rsidRPr="00B22F92">
        <w:rPr>
          <w:rFonts w:ascii="Arial" w:hAnsi="Arial" w:cs="Arial"/>
          <w:sz w:val="20"/>
          <w:szCs w:val="20"/>
        </w:rPr>
        <w:br/>
      </w:r>
      <w:hyperlink r:id="rId18" w:anchor="40:7.0.1.1.1.1.151.10" w:history="1">
        <w:r w:rsidRPr="00B22F92">
          <w:rPr>
            <w:rStyle w:val="Hyperlink"/>
            <w:sz w:val="20"/>
            <w:szCs w:val="20"/>
          </w:rPr>
          <w:t>§60.10   State authority.</w:t>
        </w:r>
      </w:hyperlink>
      <w:r w:rsidRPr="00B22F92">
        <w:rPr>
          <w:rFonts w:ascii="Arial" w:hAnsi="Arial" w:cs="Arial"/>
          <w:sz w:val="20"/>
          <w:szCs w:val="20"/>
        </w:rPr>
        <w:br/>
      </w:r>
      <w:hyperlink r:id="rId19" w:anchor="40:7.0.1.1.1.1.151.11" w:history="1">
        <w:r w:rsidRPr="00B22F92">
          <w:rPr>
            <w:rStyle w:val="Hyperlink"/>
            <w:sz w:val="20"/>
            <w:szCs w:val="20"/>
          </w:rPr>
          <w:t>§60.11   Compliance with standards and maintenance requirements.</w:t>
        </w:r>
      </w:hyperlink>
      <w:r w:rsidRPr="00B22F92">
        <w:rPr>
          <w:rFonts w:ascii="Arial" w:hAnsi="Arial" w:cs="Arial"/>
          <w:sz w:val="20"/>
          <w:szCs w:val="20"/>
        </w:rPr>
        <w:br/>
      </w:r>
      <w:hyperlink r:id="rId20" w:anchor="40:7.0.1.1.1.1.151.12" w:history="1">
        <w:r w:rsidRPr="00B22F92">
          <w:rPr>
            <w:rStyle w:val="Hyperlink"/>
            <w:sz w:val="20"/>
            <w:szCs w:val="20"/>
          </w:rPr>
          <w:t>§60.12   Circumvention.</w:t>
        </w:r>
      </w:hyperlink>
      <w:r w:rsidRPr="00B22F92">
        <w:rPr>
          <w:rFonts w:ascii="Arial" w:hAnsi="Arial" w:cs="Arial"/>
          <w:sz w:val="20"/>
          <w:szCs w:val="20"/>
        </w:rPr>
        <w:br/>
      </w:r>
      <w:hyperlink r:id="rId21" w:anchor="40:7.0.1.1.1.1.151.13" w:history="1">
        <w:r w:rsidRPr="00B22F92">
          <w:rPr>
            <w:rStyle w:val="Hyperlink"/>
            <w:sz w:val="20"/>
            <w:szCs w:val="20"/>
          </w:rPr>
          <w:t>§60.13   Monitoring requirements.</w:t>
        </w:r>
      </w:hyperlink>
      <w:r w:rsidRPr="00B22F92">
        <w:rPr>
          <w:rFonts w:ascii="Arial" w:hAnsi="Arial" w:cs="Arial"/>
          <w:sz w:val="20"/>
          <w:szCs w:val="20"/>
        </w:rPr>
        <w:br/>
      </w:r>
      <w:hyperlink r:id="rId22" w:anchor="40:7.0.1.1.1.1.151.14" w:history="1">
        <w:r w:rsidRPr="00B22F92">
          <w:rPr>
            <w:rStyle w:val="Hyperlink"/>
            <w:sz w:val="20"/>
            <w:szCs w:val="20"/>
          </w:rPr>
          <w:t>§60.14   Modification.</w:t>
        </w:r>
      </w:hyperlink>
      <w:r w:rsidRPr="00B22F92">
        <w:rPr>
          <w:rFonts w:ascii="Arial" w:hAnsi="Arial" w:cs="Arial"/>
          <w:sz w:val="20"/>
          <w:szCs w:val="20"/>
        </w:rPr>
        <w:br/>
      </w:r>
      <w:hyperlink r:id="rId23" w:anchor="40:7.0.1.1.1.1.151.15" w:history="1">
        <w:r w:rsidRPr="00B22F92">
          <w:rPr>
            <w:rStyle w:val="Hyperlink"/>
            <w:sz w:val="20"/>
            <w:szCs w:val="20"/>
          </w:rPr>
          <w:t>§60.15   Reconstruction.</w:t>
        </w:r>
      </w:hyperlink>
      <w:r w:rsidRPr="00B22F92">
        <w:rPr>
          <w:rFonts w:ascii="Arial" w:hAnsi="Arial" w:cs="Arial"/>
          <w:sz w:val="20"/>
          <w:szCs w:val="20"/>
        </w:rPr>
        <w:br/>
      </w:r>
      <w:hyperlink r:id="rId24" w:anchor="40:7.0.1.1.1.1.151.16" w:history="1">
        <w:r w:rsidRPr="00B22F92">
          <w:rPr>
            <w:rStyle w:val="Hyperlink"/>
            <w:sz w:val="20"/>
            <w:szCs w:val="20"/>
          </w:rPr>
          <w:t>§60.16   Priority list.</w:t>
        </w:r>
      </w:hyperlink>
      <w:r w:rsidRPr="00B22F92">
        <w:rPr>
          <w:rFonts w:ascii="Arial" w:hAnsi="Arial" w:cs="Arial"/>
          <w:sz w:val="20"/>
          <w:szCs w:val="20"/>
        </w:rPr>
        <w:br/>
      </w:r>
      <w:hyperlink r:id="rId25" w:anchor="40:7.0.1.1.1.1.151.17" w:history="1">
        <w:r w:rsidRPr="00B22F92">
          <w:rPr>
            <w:rStyle w:val="Hyperlink"/>
            <w:sz w:val="20"/>
            <w:szCs w:val="20"/>
          </w:rPr>
          <w:t>§60.17   Incorporations by reference.</w:t>
        </w:r>
      </w:hyperlink>
      <w:r w:rsidRPr="00B22F92">
        <w:rPr>
          <w:rFonts w:ascii="Arial" w:hAnsi="Arial" w:cs="Arial"/>
          <w:sz w:val="20"/>
          <w:szCs w:val="20"/>
        </w:rPr>
        <w:br/>
      </w:r>
      <w:hyperlink r:id="rId26" w:anchor="40:7.0.1.1.1.1.151.18" w:history="1">
        <w:r w:rsidRPr="00B22F92">
          <w:rPr>
            <w:rStyle w:val="Hyperlink"/>
            <w:sz w:val="20"/>
            <w:szCs w:val="20"/>
          </w:rPr>
          <w:t>§60.18   General control device and work practice requirements.</w:t>
        </w:r>
      </w:hyperlink>
      <w:r w:rsidRPr="00B22F92">
        <w:rPr>
          <w:rFonts w:ascii="Arial" w:hAnsi="Arial" w:cs="Arial"/>
          <w:sz w:val="20"/>
          <w:szCs w:val="20"/>
        </w:rPr>
        <w:br/>
      </w:r>
      <w:hyperlink r:id="rId27" w:anchor="40:7.0.1.1.1.1.151.19" w:history="1">
        <w:r w:rsidRPr="00B22F92">
          <w:rPr>
            <w:rStyle w:val="Hyperlink"/>
            <w:sz w:val="20"/>
            <w:szCs w:val="20"/>
          </w:rPr>
          <w:t>§60.19   General notification and reporting requirements.</w:t>
        </w:r>
      </w:hyperlink>
      <w:r w:rsidRPr="00B22F92">
        <w:rPr>
          <w:rFonts w:ascii="Arial" w:hAnsi="Arial" w:cs="Arial"/>
          <w:sz w:val="20"/>
          <w:szCs w:val="20"/>
        </w:rPr>
        <w:br/>
      </w:r>
      <w:hyperlink r:id="rId28" w:anchor="40:7.0.1.1.1.1.151.20.1" w:history="1">
        <w:r w:rsidRPr="00B22F92">
          <w:rPr>
            <w:rStyle w:val="Hyperlink"/>
            <w:sz w:val="20"/>
            <w:szCs w:val="20"/>
          </w:rPr>
          <w:t xml:space="preserve">Table 1 to Subpart A of Part 60-Detection Sensitivity Levels (grams per hour) </w:t>
        </w:r>
      </w:hyperlink>
    </w:p>
    <w:p w:rsidR="00B22F92" w:rsidRPr="00B22F92" w:rsidRDefault="008B0C90" w:rsidP="00B22F92">
      <w:pPr>
        <w:rPr>
          <w:rFonts w:ascii="Arial" w:hAnsi="Arial" w:cs="Arial"/>
          <w:sz w:val="20"/>
          <w:szCs w:val="20"/>
        </w:rPr>
      </w:pPr>
      <w:r>
        <w:rPr>
          <w:rFonts w:ascii="Arial" w:hAnsi="Arial" w:cs="Arial"/>
          <w:sz w:val="20"/>
          <w:szCs w:val="20"/>
        </w:rPr>
        <w:pict>
          <v:rect id="_x0000_i1027" style="width:0;height:1.5pt" o:hrstd="t" o:hr="t" fillcolor="#a0a0a0" stroked="f"/>
        </w:pict>
      </w:r>
    </w:p>
    <w:p w:rsidR="00B22F92" w:rsidRPr="00B22F92" w:rsidRDefault="008B0C90" w:rsidP="00B22F92">
      <w:pPr>
        <w:pStyle w:val="fp"/>
        <w:rPr>
          <w:rFonts w:ascii="Arial" w:hAnsi="Arial" w:cs="Arial"/>
          <w:sz w:val="20"/>
          <w:szCs w:val="20"/>
        </w:rPr>
      </w:pPr>
      <w:hyperlink r:id="rId29" w:anchor="_top" w:history="1">
        <w:r w:rsidR="00B22F92" w:rsidRPr="00B22F92">
          <w:rPr>
            <w:rFonts w:ascii="Arial" w:hAnsi="Arial" w:cs="Arial"/>
            <w:noProof/>
            <w:color w:val="0000FF"/>
            <w:sz w:val="20"/>
            <w:szCs w:val="20"/>
          </w:rPr>
          <w:drawing>
            <wp:inline distT="0" distB="0" distL="0" distR="0">
              <wp:extent cx="156845" cy="156845"/>
              <wp:effectExtent l="0" t="0" r="0" b="0"/>
              <wp:docPr id="27" name="Picture 27"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2" w:name="40:7.0.1.1.1.1.151.1"/>
      <w:bookmarkEnd w:id="2"/>
      <w:r w:rsidRPr="00B22F92">
        <w:rPr>
          <w:rFonts w:ascii="Arial" w:hAnsi="Arial" w:cs="Arial"/>
          <w:sz w:val="20"/>
          <w:szCs w:val="20"/>
        </w:rPr>
        <w:t>§60.1   Applicability.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(d) </w:t>
      </w:r>
      <w:r w:rsidRPr="00B22F92">
        <w:rPr>
          <w:rFonts w:ascii="Arial" w:hAnsi="Arial" w:cs="Arial"/>
          <w:i/>
          <w:iCs/>
          <w:sz w:val="20"/>
          <w:szCs w:val="20"/>
        </w:rPr>
        <w:t>Site-specific standard for Merck &amp; Co., Inc.'s Stonewall Plant in Elkton, Virginia.</w:t>
      </w:r>
      <w:r w:rsidRPr="00B22F92">
        <w:rPr>
          <w:rFonts w:ascii="Arial" w:hAnsi="Arial" w:cs="Arial"/>
          <w:sz w:val="20"/>
          <w:szCs w:val="20"/>
        </w:rPr>
        <w:t xml:space="preserve"> (1) This paragraph applies only to the pharmaceutical manufacturing facility, commonly referred to as the Stonewall Plant, located at Route 340 South, in Elkton, Virginia (“site”).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[40 FR 53346, Nov. 17, 1975, as amended at 55 FR 51382, Dec. 13, 1990; 59 FR 12427, Mar. 16, 1994; 62 FR 52641, Oct. 8, 1997]</w:t>
      </w:r>
    </w:p>
    <w:p w:rsidR="00B22F92" w:rsidRPr="00B22F92" w:rsidRDefault="008B0C90" w:rsidP="00B22F92">
      <w:pPr>
        <w:pStyle w:val="fp"/>
        <w:rPr>
          <w:rFonts w:ascii="Arial" w:hAnsi="Arial" w:cs="Arial"/>
          <w:sz w:val="20"/>
          <w:szCs w:val="20"/>
        </w:rPr>
      </w:pPr>
      <w:hyperlink r:id="rId32" w:anchor="_top" w:history="1">
        <w:r w:rsidR="00B22F92" w:rsidRPr="00B22F92">
          <w:rPr>
            <w:rFonts w:ascii="Arial" w:hAnsi="Arial" w:cs="Arial"/>
            <w:noProof/>
            <w:color w:val="0000FF"/>
            <w:sz w:val="20"/>
            <w:szCs w:val="20"/>
          </w:rPr>
          <w:drawing>
            <wp:inline distT="0" distB="0" distL="0" distR="0">
              <wp:extent cx="156845" cy="156845"/>
              <wp:effectExtent l="0" t="0" r="0" b="0"/>
              <wp:docPr id="26" name="Picture 26"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3" w:name="40:7.0.1.1.1.1.151.2"/>
      <w:bookmarkEnd w:id="3"/>
      <w:r w:rsidRPr="00B22F92">
        <w:rPr>
          <w:rFonts w:ascii="Arial" w:hAnsi="Arial" w:cs="Arial"/>
          <w:sz w:val="20"/>
          <w:szCs w:val="20"/>
        </w:rPr>
        <w:t>§60.2   Definitions.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The terms used in this part are defined in the Act or in this section as follows: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Act</w:t>
      </w:r>
      <w:r w:rsidRPr="00B22F92">
        <w:rPr>
          <w:rFonts w:ascii="Arial" w:hAnsi="Arial" w:cs="Arial"/>
          <w:sz w:val="20"/>
          <w:szCs w:val="20"/>
        </w:rPr>
        <w:t xml:space="preserve"> means the Clean Air Act (42 U.S.C. 7401 </w:t>
      </w:r>
      <w:r w:rsidRPr="00B22F92">
        <w:rPr>
          <w:rFonts w:ascii="Arial" w:hAnsi="Arial" w:cs="Arial"/>
          <w:i/>
          <w:iCs/>
          <w:sz w:val="20"/>
          <w:szCs w:val="20"/>
        </w:rPr>
        <w:t>et seq.</w:t>
      </w:r>
      <w:r w:rsidRPr="00B22F92">
        <w:rPr>
          <w:rFonts w:ascii="Arial" w:hAnsi="Arial" w:cs="Arial"/>
          <w:sz w:val="20"/>
          <w:szCs w:val="20"/>
        </w:rPr>
        <w:t xml:space="preserv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Administrator</w:t>
      </w:r>
      <w:r w:rsidRPr="00B22F92">
        <w:rPr>
          <w:rFonts w:ascii="Arial" w:hAnsi="Arial" w:cs="Arial"/>
          <w:sz w:val="20"/>
          <w:szCs w:val="20"/>
        </w:rPr>
        <w:t xml:space="preserve"> means the Administrator of the Environmental Protection Agency or his authorized representative. </w:t>
      </w:r>
    </w:p>
    <w:p w:rsidR="00080AD1" w:rsidRDefault="00B22F92" w:rsidP="00080AD1">
      <w:pPr>
        <w:pStyle w:val="NormalWeb"/>
        <w:jc w:val="both"/>
        <w:rPr>
          <w:rFonts w:ascii="Arial" w:hAnsi="Arial" w:cs="Arial"/>
          <w:sz w:val="20"/>
          <w:szCs w:val="20"/>
        </w:rPr>
      </w:pPr>
      <w:r w:rsidRPr="00B22F92">
        <w:rPr>
          <w:rFonts w:ascii="Arial" w:hAnsi="Arial" w:cs="Arial"/>
          <w:i/>
          <w:iCs/>
          <w:sz w:val="20"/>
          <w:szCs w:val="20"/>
        </w:rPr>
        <w:t>Affected facility</w:t>
      </w:r>
      <w:r w:rsidRPr="00B22F92">
        <w:rPr>
          <w:rFonts w:ascii="Arial" w:hAnsi="Arial" w:cs="Arial"/>
          <w:sz w:val="20"/>
          <w:szCs w:val="20"/>
        </w:rPr>
        <w:t xml:space="preserve"> means, with reference to a stationary source, any apparatus to which a standard is applicable. </w:t>
      </w:r>
    </w:p>
    <w:p w:rsidR="00080AD1" w:rsidRDefault="00080AD1">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lastRenderedPageBreak/>
        <w:t>Alternative method</w:t>
      </w:r>
      <w:r w:rsidRPr="00B22F92">
        <w:rPr>
          <w:rFonts w:ascii="Arial" w:hAnsi="Arial" w:cs="Arial"/>
          <w:sz w:val="20"/>
          <w:szCs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Approved permit program</w:t>
      </w:r>
      <w:r w:rsidRPr="00B22F92">
        <w:rPr>
          <w:rFonts w:ascii="Arial" w:hAnsi="Arial" w:cs="Arial"/>
          <w:sz w:val="20"/>
          <w:szCs w:val="20"/>
        </w:rPr>
        <w:t xml:space="preserve"> means a State permit program approved by the Administrator as meeting the requirements of part 70 of this chapter or a Federal permit program established in this chapter pursuant to Title V of the Act (42 U.S.C. 7661).</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Capital expenditure</w:t>
      </w:r>
      <w:r w:rsidRPr="00B22F92">
        <w:rPr>
          <w:rFonts w:ascii="Arial" w:hAnsi="Arial" w:cs="Arial"/>
          <w:sz w:val="20"/>
          <w:szCs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Clean coal technology demonstration project</w:t>
      </w:r>
      <w:r w:rsidRPr="00B22F92">
        <w:rPr>
          <w:rFonts w:ascii="Arial" w:hAnsi="Arial" w:cs="Arial"/>
          <w:sz w:val="20"/>
          <w:szCs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Commenced</w:t>
      </w:r>
      <w:r w:rsidRPr="00B22F92">
        <w:rPr>
          <w:rFonts w:ascii="Arial" w:hAnsi="Arial" w:cs="Arial"/>
          <w:sz w:val="20"/>
          <w:szCs w:val="20"/>
        </w:rPr>
        <w:t xml:space="preserve"> means, with respect to the definition of </w:t>
      </w:r>
      <w:r w:rsidRPr="00B22F92">
        <w:rPr>
          <w:rFonts w:ascii="Arial" w:hAnsi="Arial" w:cs="Arial"/>
          <w:i/>
          <w:iCs/>
          <w:sz w:val="20"/>
          <w:szCs w:val="20"/>
        </w:rPr>
        <w:t>new source</w:t>
      </w:r>
      <w:r w:rsidRPr="00B22F92">
        <w:rPr>
          <w:rFonts w:ascii="Arial" w:hAnsi="Arial" w:cs="Arial"/>
          <w:sz w:val="20"/>
          <w:szCs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Construction</w:t>
      </w:r>
      <w:r w:rsidRPr="00B22F92">
        <w:rPr>
          <w:rFonts w:ascii="Arial" w:hAnsi="Arial" w:cs="Arial"/>
          <w:sz w:val="20"/>
          <w:szCs w:val="20"/>
        </w:rPr>
        <w:t xml:space="preserve"> means fabrication, erection, or installation of an affected facility.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Continuous monitoring system</w:t>
      </w:r>
      <w:r w:rsidRPr="00B22F92">
        <w:rPr>
          <w:rFonts w:ascii="Arial" w:hAnsi="Arial" w:cs="Arial"/>
          <w:sz w:val="20"/>
          <w:szCs w:val="20"/>
        </w:rPr>
        <w:t xml:space="preserve"> means the total equipment, required under the emission monitoring sections in applicable subparts, used to sample and condition (if applicable), to analyze, and to provide a permanent record of emissions or process parameters.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Electric utility steam generating unit</w:t>
      </w:r>
      <w:r w:rsidRPr="00B22F92">
        <w:rPr>
          <w:rFonts w:ascii="Arial" w:hAnsi="Arial" w:cs="Arial"/>
          <w:sz w:val="20"/>
          <w:szCs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Equivalent method</w:t>
      </w:r>
      <w:r w:rsidRPr="00B22F92">
        <w:rPr>
          <w:rFonts w:ascii="Arial" w:hAnsi="Arial" w:cs="Arial"/>
          <w:sz w:val="20"/>
          <w:szCs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080AD1" w:rsidRDefault="00B22F92" w:rsidP="00B22F92">
      <w:pPr>
        <w:pStyle w:val="NormalWeb"/>
        <w:rPr>
          <w:rFonts w:ascii="Arial" w:hAnsi="Arial" w:cs="Arial"/>
          <w:sz w:val="20"/>
          <w:szCs w:val="20"/>
        </w:rPr>
      </w:pPr>
      <w:r w:rsidRPr="00B22F92">
        <w:rPr>
          <w:rFonts w:ascii="Arial" w:hAnsi="Arial" w:cs="Arial"/>
          <w:i/>
          <w:iCs/>
          <w:sz w:val="20"/>
          <w:szCs w:val="20"/>
        </w:rPr>
        <w:t>Excess Emissions and Monitoring Systems Performance Report</w:t>
      </w:r>
      <w:r w:rsidRPr="00B22F92">
        <w:rPr>
          <w:rFonts w:ascii="Arial" w:hAnsi="Arial" w:cs="Arial"/>
          <w:sz w:val="20"/>
          <w:szCs w:val="20"/>
        </w:rPr>
        <w:t xml:space="preserve"> is a report that must be submitted periodically by a source in order to provide data on its compliance with stated emission limits and operating parameters, and on the performance of its monitoring systems.</w:t>
      </w:r>
    </w:p>
    <w:p w:rsidR="00080AD1" w:rsidRDefault="00080AD1">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Existing facility</w:t>
      </w:r>
      <w:r w:rsidRPr="00B22F92">
        <w:rPr>
          <w:rFonts w:ascii="Arial" w:hAnsi="Arial" w:cs="Arial"/>
          <w:sz w:val="20"/>
          <w:szCs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Force majeure</w:t>
      </w:r>
      <w:r w:rsidRPr="00B22F92">
        <w:rPr>
          <w:rFonts w:ascii="Arial" w:hAnsi="Arial" w:cs="Arial"/>
          <w:sz w:val="20"/>
          <w:szCs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Isokinetic sampling</w:t>
      </w:r>
      <w:r w:rsidRPr="00B22F92">
        <w:rPr>
          <w:rFonts w:ascii="Arial" w:hAnsi="Arial" w:cs="Arial"/>
          <w:sz w:val="20"/>
          <w:szCs w:val="20"/>
        </w:rPr>
        <w:t xml:space="preserve"> means sampling in which the linear velocity of the gas entering the sampling nozzle is equal to that of the undisturbed gas stream at the sample point.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Issuance</w:t>
      </w:r>
      <w:r w:rsidRPr="00B22F92">
        <w:rPr>
          <w:rFonts w:ascii="Arial" w:hAnsi="Arial" w:cs="Arial"/>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Malfunction</w:t>
      </w:r>
      <w:r w:rsidRPr="00B22F92">
        <w:rPr>
          <w:rFonts w:ascii="Arial" w:hAnsi="Arial" w:cs="Arial"/>
          <w:sz w:val="20"/>
          <w:szCs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Modification</w:t>
      </w:r>
      <w:r w:rsidRPr="00B22F92">
        <w:rPr>
          <w:rFonts w:ascii="Arial" w:hAnsi="Arial" w:cs="Arial"/>
          <w:sz w:val="20"/>
          <w:szCs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Monitoring device</w:t>
      </w:r>
      <w:r w:rsidRPr="00B22F92">
        <w:rPr>
          <w:rFonts w:ascii="Arial" w:hAnsi="Arial" w:cs="Arial"/>
          <w:sz w:val="20"/>
          <w:szCs w:val="20"/>
        </w:rPr>
        <w:t xml:space="preserve"> means the total equipment, required under the monitoring of operations sections in applicable subparts, used to measure and record (if applicable) process parameters.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Nitrogen oxides</w:t>
      </w:r>
      <w:r w:rsidRPr="00B22F92">
        <w:rPr>
          <w:rFonts w:ascii="Arial" w:hAnsi="Arial" w:cs="Arial"/>
          <w:sz w:val="20"/>
          <w:szCs w:val="20"/>
        </w:rPr>
        <w:t xml:space="preserve"> means all oxides of nitrogen except nitrous oxide, as measured by test methods set forth in this part.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One-hour period</w:t>
      </w:r>
      <w:r w:rsidRPr="00B22F92">
        <w:rPr>
          <w:rFonts w:ascii="Arial" w:hAnsi="Arial" w:cs="Arial"/>
          <w:sz w:val="20"/>
          <w:szCs w:val="20"/>
        </w:rPr>
        <w:t xml:space="preserve"> means any 60-minute period commencing on the hour.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Opacity</w:t>
      </w:r>
      <w:r w:rsidRPr="00B22F92">
        <w:rPr>
          <w:rFonts w:ascii="Arial" w:hAnsi="Arial" w:cs="Arial"/>
          <w:sz w:val="20"/>
          <w:szCs w:val="20"/>
        </w:rPr>
        <w:t xml:space="preserve"> means the degree to which emissions reduce the transmission of light and obscure the view of an object in the background. </w:t>
      </w:r>
    </w:p>
    <w:p w:rsidR="00080AD1" w:rsidRDefault="00B22F92" w:rsidP="00B22F92">
      <w:pPr>
        <w:pStyle w:val="NormalWeb"/>
        <w:rPr>
          <w:rFonts w:ascii="Arial" w:hAnsi="Arial" w:cs="Arial"/>
          <w:sz w:val="20"/>
          <w:szCs w:val="20"/>
        </w:rPr>
      </w:pPr>
      <w:r w:rsidRPr="00B22F92">
        <w:rPr>
          <w:rFonts w:ascii="Arial" w:hAnsi="Arial" w:cs="Arial"/>
          <w:i/>
          <w:iCs/>
          <w:sz w:val="20"/>
          <w:szCs w:val="20"/>
        </w:rPr>
        <w:t>Owner or operator</w:t>
      </w:r>
      <w:r w:rsidRPr="00B22F92">
        <w:rPr>
          <w:rFonts w:ascii="Arial" w:hAnsi="Arial" w:cs="Arial"/>
          <w:sz w:val="20"/>
          <w:szCs w:val="20"/>
        </w:rPr>
        <w:t xml:space="preserve"> means any person who owns, leases, operates, controls, or supervises an affected facility or a stationary source of which an affected facility is a part. </w:t>
      </w:r>
    </w:p>
    <w:p w:rsidR="00080AD1" w:rsidRDefault="00080AD1">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Part 70 permit</w:t>
      </w:r>
      <w:r w:rsidRPr="00B22F92">
        <w:rPr>
          <w:rFonts w:ascii="Arial" w:hAnsi="Arial" w:cs="Arial"/>
          <w:sz w:val="20"/>
          <w:szCs w:val="20"/>
        </w:rPr>
        <w:t xml:space="preserve"> means any permit issued, renewed, or revised pursuant to part 70 of this chapter.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Particulate matter</w:t>
      </w:r>
      <w:r w:rsidRPr="00B22F92">
        <w:rPr>
          <w:rFonts w:ascii="Arial" w:hAnsi="Arial" w:cs="Arial"/>
          <w:sz w:val="20"/>
          <w:szCs w:val="20"/>
        </w:rPr>
        <w:t xml:space="preserve"> means any finely divided solid or liquid material, other than uncombined water, as measured by the reference methods specified under each applicable subpart, or an equivalent or alternative method.</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Permit program</w:t>
      </w:r>
      <w:r w:rsidRPr="00B22F92">
        <w:rPr>
          <w:rFonts w:ascii="Arial" w:hAnsi="Arial" w:cs="Arial"/>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Permitting authority</w:t>
      </w:r>
      <w:r w:rsidRPr="00B22F92">
        <w:rPr>
          <w:rFonts w:ascii="Arial" w:hAnsi="Arial" w:cs="Arial"/>
          <w:sz w:val="20"/>
          <w:szCs w:val="20"/>
        </w:rPr>
        <w:t xml:space="preserve"> means: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The State air pollution control agency, local agency, other State agency, or other agency authorized by the Administrator to carry out a permit program under part 70 of this chapter; or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The Administrator, in the case of EPA-implemented permit programs under title V of the Act (42 U.S.C. 7661).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Proportional sampling</w:t>
      </w:r>
      <w:r w:rsidRPr="00B22F92">
        <w:rPr>
          <w:rFonts w:ascii="Arial" w:hAnsi="Arial" w:cs="Arial"/>
          <w:sz w:val="20"/>
          <w:szCs w:val="20"/>
        </w:rPr>
        <w:t xml:space="preserve"> means sampling at a rate that produces a constant ratio of sampling rate to stack gas flow rate.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Reactivation of a very clean coal-fired electric utility steam generating unit</w:t>
      </w:r>
      <w:r w:rsidRPr="00B22F92">
        <w:rPr>
          <w:rFonts w:ascii="Arial" w:hAnsi="Arial" w:cs="Arial"/>
          <w:sz w:val="20"/>
          <w:szCs w:val="20"/>
        </w:rPr>
        <w:t xml:space="preserve"> means any physical change or change in the method of operation associated with the commencement of commercial operations by a coal-fired utility unit after a period of discontinued operation where the unit: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Is equipped with low-NO</w:t>
      </w:r>
      <w:r w:rsidRPr="00B22F92">
        <w:rPr>
          <w:rFonts w:ascii="Arial" w:hAnsi="Arial" w:cs="Arial"/>
          <w:sz w:val="20"/>
          <w:szCs w:val="20"/>
          <w:vertAlign w:val="subscript"/>
        </w:rPr>
        <w:t>X</w:t>
      </w:r>
      <w:r w:rsidRPr="00B22F92">
        <w:rPr>
          <w:rFonts w:ascii="Arial" w:hAnsi="Arial" w:cs="Arial"/>
          <w:sz w:val="20"/>
          <w:szCs w:val="20"/>
        </w:rPr>
        <w:t xml:space="preserve"> burners prior to the time of commencement of operations following reactivation; and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Is otherwise in compliance with the requirements of the Clean Air Act.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Reference method</w:t>
      </w:r>
      <w:r w:rsidRPr="00B22F92">
        <w:rPr>
          <w:rFonts w:ascii="Arial" w:hAnsi="Arial" w:cs="Arial"/>
          <w:sz w:val="20"/>
          <w:szCs w:val="20"/>
        </w:rPr>
        <w:t xml:space="preserve"> means any method of sampling and analyzing for an air pollutant as specified in the applicable subpart.</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Repowering</w:t>
      </w:r>
      <w:r w:rsidRPr="00B22F92">
        <w:rPr>
          <w:rFonts w:ascii="Arial" w:hAnsi="Arial" w:cs="Arial"/>
          <w:sz w:val="20"/>
          <w:szCs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w:t>
      </w:r>
      <w:r w:rsidRPr="00B22F92">
        <w:rPr>
          <w:rFonts w:ascii="Arial" w:hAnsi="Arial" w:cs="Arial"/>
          <w:sz w:val="20"/>
          <w:szCs w:val="20"/>
        </w:rPr>
        <w:lastRenderedPageBreak/>
        <w:t xml:space="preserve">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Run</w:t>
      </w:r>
      <w:r w:rsidRPr="00B22F92">
        <w:rPr>
          <w:rFonts w:ascii="Arial" w:hAnsi="Arial" w:cs="Arial"/>
          <w:sz w:val="20"/>
          <w:szCs w:val="20"/>
        </w:rPr>
        <w:t xml:space="preserve"> means the net period of time during which an emission sample is collected. Unless otherwise specified, a run may be either intermittent or continuous within the limits of good engineering practice.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Shutdown</w:t>
      </w:r>
      <w:r w:rsidRPr="00B22F92">
        <w:rPr>
          <w:rFonts w:ascii="Arial" w:hAnsi="Arial" w:cs="Arial"/>
          <w:sz w:val="20"/>
          <w:szCs w:val="20"/>
        </w:rPr>
        <w:t xml:space="preserve"> means the cessation of operation of an affected facility for any purpose.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Six-minute period</w:t>
      </w:r>
      <w:r w:rsidRPr="00B22F92">
        <w:rPr>
          <w:rFonts w:ascii="Arial" w:hAnsi="Arial" w:cs="Arial"/>
          <w:sz w:val="20"/>
          <w:szCs w:val="20"/>
        </w:rPr>
        <w:t xml:space="preserve"> means any one of the 10 equal parts of a one-hour period.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Standard</w:t>
      </w:r>
      <w:r w:rsidRPr="00B22F92">
        <w:rPr>
          <w:rFonts w:ascii="Arial" w:hAnsi="Arial" w:cs="Arial"/>
          <w:sz w:val="20"/>
          <w:szCs w:val="20"/>
        </w:rPr>
        <w:t xml:space="preserve"> means a standard of performance proposed or promulgated under this part.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Standard conditions</w:t>
      </w:r>
      <w:r w:rsidRPr="00B22F92">
        <w:rPr>
          <w:rFonts w:ascii="Arial" w:hAnsi="Arial" w:cs="Arial"/>
          <w:sz w:val="20"/>
          <w:szCs w:val="20"/>
        </w:rPr>
        <w:t xml:space="preserve"> means a temperature of 293 K (68F) and a pressure of 101.3 kilopascals (29.92 in Hg).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Startup</w:t>
      </w:r>
      <w:r w:rsidRPr="00B22F92">
        <w:rPr>
          <w:rFonts w:ascii="Arial" w:hAnsi="Arial" w:cs="Arial"/>
          <w:sz w:val="20"/>
          <w:szCs w:val="20"/>
        </w:rPr>
        <w:t xml:space="preserve"> means the setting in operation of an affected facility for any purpose.</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State</w:t>
      </w:r>
      <w:r w:rsidRPr="00B22F92">
        <w:rPr>
          <w:rFonts w:ascii="Arial" w:hAnsi="Arial" w:cs="Arial"/>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Stationary source</w:t>
      </w:r>
      <w:r w:rsidRPr="00B22F92">
        <w:rPr>
          <w:rFonts w:ascii="Arial" w:hAnsi="Arial" w:cs="Arial"/>
          <w:sz w:val="20"/>
          <w:szCs w:val="20"/>
        </w:rPr>
        <w:t xml:space="preserve"> means any building, structure, facility, or installation which emits or may emit any air pollutant.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Title V permit</w:t>
      </w:r>
      <w:r w:rsidRPr="00B22F92">
        <w:rPr>
          <w:rFonts w:ascii="Arial" w:hAnsi="Arial" w:cs="Arial"/>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B22F92" w:rsidRPr="00B22F92" w:rsidRDefault="00B22F92" w:rsidP="00B22F92">
      <w:pPr>
        <w:pStyle w:val="NormalWeb"/>
        <w:rPr>
          <w:rFonts w:ascii="Arial" w:hAnsi="Arial" w:cs="Arial"/>
          <w:sz w:val="20"/>
          <w:szCs w:val="20"/>
        </w:rPr>
      </w:pPr>
      <w:r w:rsidRPr="00B22F92">
        <w:rPr>
          <w:rFonts w:ascii="Arial" w:hAnsi="Arial" w:cs="Arial"/>
          <w:i/>
          <w:iCs/>
          <w:sz w:val="20"/>
          <w:szCs w:val="20"/>
        </w:rPr>
        <w:t>Volatile Organic Compound</w:t>
      </w:r>
      <w:r w:rsidRPr="00B22F92">
        <w:rPr>
          <w:rFonts w:ascii="Arial" w:hAnsi="Arial" w:cs="Arial"/>
          <w:sz w:val="20"/>
          <w:szCs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[44 FR 55173, Sept. 25, 1979, as amended at 45 FR 5617, Jan. 23, 1980; 45 FR 85415, Dec. 24, 1980; 54 FR 6662, Feb. 14, 1989; 55 FR 51382, Dec. 13, 1990; 57 FR 32338, July 21, 1992; 59 FR 12427, Mar. 16, 1994; 72 FR 27442, May 16, 2007] </w:t>
      </w:r>
    </w:p>
    <w:p w:rsidR="00B22F92" w:rsidRPr="00B22F92" w:rsidRDefault="008B0C90" w:rsidP="00B22F92">
      <w:pPr>
        <w:pStyle w:val="fp"/>
        <w:rPr>
          <w:rFonts w:ascii="Arial" w:hAnsi="Arial" w:cs="Arial"/>
          <w:sz w:val="20"/>
          <w:szCs w:val="20"/>
        </w:rPr>
      </w:pPr>
      <w:hyperlink r:id="rId33" w:anchor="_top" w:history="1">
        <w:r w:rsidR="00B22F92" w:rsidRPr="00B22F92">
          <w:rPr>
            <w:rFonts w:ascii="Arial" w:hAnsi="Arial" w:cs="Arial"/>
            <w:noProof/>
            <w:color w:val="0000FF"/>
            <w:sz w:val="20"/>
            <w:szCs w:val="20"/>
          </w:rPr>
          <w:drawing>
            <wp:inline distT="0" distB="0" distL="0" distR="0">
              <wp:extent cx="156845" cy="156845"/>
              <wp:effectExtent l="0" t="0" r="0" b="0"/>
              <wp:docPr id="25" name="Picture 25"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6C6BBA" w:rsidRDefault="006C6BBA">
      <w:pPr>
        <w:rPr>
          <w:rFonts w:ascii="Arial" w:eastAsia="Times New Roman" w:hAnsi="Arial" w:cs="Arial"/>
          <w:b/>
          <w:bCs/>
          <w:sz w:val="20"/>
          <w:szCs w:val="20"/>
        </w:rPr>
      </w:pPr>
      <w:bookmarkStart w:id="4" w:name="40:7.0.1.1.1.1.151.3"/>
      <w:bookmarkEnd w:id="4"/>
      <w:r>
        <w:rPr>
          <w:rFonts w:ascii="Arial" w:hAnsi="Arial" w:cs="Arial"/>
          <w:sz w:val="20"/>
          <w:szCs w:val="20"/>
        </w:rPr>
        <w:br w:type="page"/>
      </w:r>
    </w:p>
    <w:p w:rsidR="00B22F92" w:rsidRPr="00B22F92" w:rsidRDefault="00B22F92" w:rsidP="00B22F92">
      <w:pPr>
        <w:pStyle w:val="Heading2"/>
        <w:jc w:val="left"/>
        <w:rPr>
          <w:rFonts w:ascii="Arial" w:hAnsi="Arial" w:cs="Arial"/>
          <w:sz w:val="20"/>
          <w:szCs w:val="20"/>
        </w:rPr>
      </w:pPr>
      <w:r w:rsidRPr="00B22F92">
        <w:rPr>
          <w:rFonts w:ascii="Arial" w:hAnsi="Arial" w:cs="Arial"/>
          <w:sz w:val="20"/>
          <w:szCs w:val="20"/>
        </w:rPr>
        <w:lastRenderedPageBreak/>
        <w:t>§60.3   Units and abbreviations.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Used in this part are abbreviations and symbols of units of measure. These are defined as follows: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System International (SI) units of measure: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A—ampere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g—gram</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Hz—hertz</w:t>
      </w:r>
    </w:p>
    <w:p w:rsidR="00B22F92" w:rsidRPr="00B22F92" w:rsidRDefault="00B22F92" w:rsidP="00B22F92">
      <w:pPr>
        <w:pStyle w:val="fp-1"/>
        <w:rPr>
          <w:rFonts w:ascii="Arial" w:hAnsi="Arial" w:cs="Arial"/>
          <w:sz w:val="20"/>
          <w:szCs w:val="20"/>
        </w:rPr>
      </w:pPr>
      <w:r w:rsidRPr="00B22F92">
        <w:rPr>
          <w:rFonts w:ascii="Arial" w:hAnsi="Arial" w:cs="Arial"/>
          <w:sz w:val="20"/>
          <w:szCs w:val="20"/>
        </w:rPr>
        <w:t>J—joule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K—degree Kelvin</w:t>
      </w:r>
    </w:p>
    <w:p w:rsidR="00B22F92" w:rsidRPr="00B22F92" w:rsidRDefault="00B22F92" w:rsidP="00B22F92">
      <w:pPr>
        <w:pStyle w:val="fp-1"/>
        <w:rPr>
          <w:rFonts w:ascii="Arial" w:hAnsi="Arial" w:cs="Arial"/>
          <w:sz w:val="20"/>
          <w:szCs w:val="20"/>
        </w:rPr>
      </w:pPr>
      <w:r w:rsidRPr="00B22F92">
        <w:rPr>
          <w:rFonts w:ascii="Arial" w:hAnsi="Arial" w:cs="Arial"/>
          <w:sz w:val="20"/>
          <w:szCs w:val="20"/>
        </w:rPr>
        <w:t>kg—kilogram</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m—meter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w:t>
      </w:r>
      <w:r w:rsidRPr="00B22F92">
        <w:rPr>
          <w:rStyle w:val="su1"/>
          <w:rFonts w:ascii="Arial" w:hAnsi="Arial" w:cs="Arial"/>
          <w:sz w:val="20"/>
          <w:szCs w:val="20"/>
        </w:rPr>
        <w:t>3</w:t>
      </w:r>
      <w:r w:rsidRPr="00B22F92">
        <w:rPr>
          <w:rFonts w:ascii="Arial" w:hAnsi="Arial" w:cs="Arial"/>
          <w:sz w:val="20"/>
          <w:szCs w:val="20"/>
        </w:rPr>
        <w:t>—cubic meter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mg—milligram—10</w:t>
      </w:r>
      <w:r w:rsidRPr="00B22F92">
        <w:rPr>
          <w:rFonts w:ascii="Arial" w:hAnsi="Arial" w:cs="Arial"/>
          <w:sz w:val="20"/>
          <w:szCs w:val="20"/>
          <w:vertAlign w:val="superscript"/>
        </w:rPr>
        <w:t>−3</w:t>
      </w:r>
      <w:r w:rsidRPr="00B22F92">
        <w:rPr>
          <w:rFonts w:ascii="Arial" w:hAnsi="Arial" w:cs="Arial"/>
          <w:sz w:val="20"/>
          <w:szCs w:val="20"/>
        </w:rPr>
        <w:t xml:space="preserve"> gram</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mm—millimeter—10</w:t>
      </w:r>
      <w:r w:rsidRPr="00B22F92">
        <w:rPr>
          <w:rFonts w:ascii="Arial" w:hAnsi="Arial" w:cs="Arial"/>
          <w:sz w:val="20"/>
          <w:szCs w:val="20"/>
          <w:vertAlign w:val="superscript"/>
        </w:rPr>
        <w:t>−3</w:t>
      </w:r>
      <w:r w:rsidRPr="00B22F92">
        <w:rPr>
          <w:rFonts w:ascii="Arial" w:hAnsi="Arial" w:cs="Arial"/>
          <w:sz w:val="20"/>
          <w:szCs w:val="20"/>
        </w:rPr>
        <w:t xml:space="preserve"> meter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Mg—megagram—10</w:t>
      </w:r>
      <w:r w:rsidRPr="00B22F92">
        <w:rPr>
          <w:rStyle w:val="su1"/>
          <w:rFonts w:ascii="Arial" w:hAnsi="Arial" w:cs="Arial"/>
          <w:sz w:val="20"/>
          <w:szCs w:val="20"/>
        </w:rPr>
        <w:t>6</w:t>
      </w:r>
      <w:r w:rsidRPr="00B22F92">
        <w:rPr>
          <w:rFonts w:ascii="Arial" w:hAnsi="Arial" w:cs="Arial"/>
          <w:sz w:val="20"/>
          <w:szCs w:val="20"/>
        </w:rPr>
        <w:t xml:space="preserve"> gram</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mol—mole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N—newton</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ng—nanogram—10</w:t>
      </w:r>
      <w:r w:rsidRPr="00B22F92">
        <w:rPr>
          <w:rFonts w:ascii="Arial" w:hAnsi="Arial" w:cs="Arial"/>
          <w:sz w:val="20"/>
          <w:szCs w:val="20"/>
          <w:vertAlign w:val="superscript"/>
        </w:rPr>
        <w:t>−9</w:t>
      </w:r>
      <w:r w:rsidRPr="00B22F92">
        <w:rPr>
          <w:rFonts w:ascii="Arial" w:hAnsi="Arial" w:cs="Arial"/>
          <w:sz w:val="20"/>
          <w:szCs w:val="20"/>
        </w:rPr>
        <w:t xml:space="preserve"> gram</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nm—nanometer—10</w:t>
      </w:r>
      <w:r w:rsidRPr="00B22F92">
        <w:rPr>
          <w:rFonts w:ascii="Arial" w:hAnsi="Arial" w:cs="Arial"/>
          <w:sz w:val="20"/>
          <w:szCs w:val="20"/>
          <w:vertAlign w:val="superscript"/>
        </w:rPr>
        <w:t>−9</w:t>
      </w:r>
      <w:r w:rsidRPr="00B22F92">
        <w:rPr>
          <w:rFonts w:ascii="Arial" w:hAnsi="Arial" w:cs="Arial"/>
          <w:sz w:val="20"/>
          <w:szCs w:val="20"/>
        </w:rPr>
        <w:t xml:space="preserve"> meter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Pa—pascal</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s—second</w:t>
      </w:r>
    </w:p>
    <w:p w:rsidR="00B22F92" w:rsidRPr="00B22F92" w:rsidRDefault="00B22F92" w:rsidP="00B22F92">
      <w:pPr>
        <w:pStyle w:val="fp-1"/>
        <w:rPr>
          <w:rFonts w:ascii="Arial" w:hAnsi="Arial" w:cs="Arial"/>
          <w:sz w:val="20"/>
          <w:szCs w:val="20"/>
        </w:rPr>
      </w:pPr>
      <w:r w:rsidRPr="00B22F92">
        <w:rPr>
          <w:rFonts w:ascii="Arial" w:hAnsi="Arial" w:cs="Arial"/>
          <w:sz w:val="20"/>
          <w:szCs w:val="20"/>
        </w:rPr>
        <w:t>V—volt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W—watt </w:t>
      </w:r>
    </w:p>
    <w:p w:rsidR="006C6BBA" w:rsidRDefault="00B22F92" w:rsidP="00B22F92">
      <w:pPr>
        <w:pStyle w:val="fp-1"/>
        <w:rPr>
          <w:rFonts w:ascii="Arial" w:hAnsi="Arial" w:cs="Arial"/>
          <w:sz w:val="20"/>
          <w:szCs w:val="20"/>
        </w:rPr>
      </w:pPr>
      <w:r w:rsidRPr="00B22F92">
        <w:rPr>
          <w:rFonts w:ascii="Arial" w:hAnsi="Arial" w:cs="Arial"/>
          <w:sz w:val="20"/>
          <w:szCs w:val="20"/>
        </w:rPr>
        <w:t xml:space="preserve">Ω—ohm </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fp-1"/>
        <w:rPr>
          <w:rFonts w:ascii="Arial" w:hAnsi="Arial" w:cs="Arial"/>
          <w:sz w:val="20"/>
          <w:szCs w:val="20"/>
        </w:rPr>
      </w:pPr>
      <w:r w:rsidRPr="00B22F92">
        <w:rPr>
          <w:rFonts w:ascii="Arial" w:hAnsi="Arial" w:cs="Arial"/>
          <w:sz w:val="20"/>
          <w:szCs w:val="20"/>
        </w:rPr>
        <w:t>µg—microgram—10</w:t>
      </w:r>
      <w:r w:rsidRPr="00B22F92">
        <w:rPr>
          <w:rFonts w:ascii="Arial" w:hAnsi="Arial" w:cs="Arial"/>
          <w:sz w:val="20"/>
          <w:szCs w:val="20"/>
          <w:vertAlign w:val="superscript"/>
        </w:rPr>
        <w:t>−6</w:t>
      </w:r>
      <w:r w:rsidRPr="00B22F92">
        <w:rPr>
          <w:rFonts w:ascii="Arial" w:hAnsi="Arial" w:cs="Arial"/>
          <w:sz w:val="20"/>
          <w:szCs w:val="20"/>
        </w:rPr>
        <w:t xml:space="preserve"> gram</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Other units of measure: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Btu—British thermal unit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°C—degree Celsius (centigrade) </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cal—calorie </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cfm—cubic feet per minute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cu ft—cubic feet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dcf—dry cubic feet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dcm—dry cubic meter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dscf—dry cubic feet at standard conditions</w:t>
      </w:r>
    </w:p>
    <w:p w:rsidR="00B22F92" w:rsidRPr="00B22F92" w:rsidRDefault="00B22F92" w:rsidP="00B22F92">
      <w:pPr>
        <w:pStyle w:val="fp-1"/>
        <w:rPr>
          <w:rFonts w:ascii="Arial" w:hAnsi="Arial" w:cs="Arial"/>
          <w:sz w:val="20"/>
          <w:szCs w:val="20"/>
        </w:rPr>
      </w:pPr>
      <w:r w:rsidRPr="00B22F92">
        <w:rPr>
          <w:rFonts w:ascii="Arial" w:hAnsi="Arial" w:cs="Arial"/>
          <w:sz w:val="20"/>
          <w:szCs w:val="20"/>
        </w:rPr>
        <w:t>dscm—dry cubic meter at standard conditions</w:t>
      </w:r>
    </w:p>
    <w:p w:rsidR="00B22F92" w:rsidRPr="00B22F92" w:rsidRDefault="00B22F92" w:rsidP="00B22F92">
      <w:pPr>
        <w:pStyle w:val="fp-1"/>
        <w:rPr>
          <w:rFonts w:ascii="Arial" w:hAnsi="Arial" w:cs="Arial"/>
          <w:sz w:val="20"/>
          <w:szCs w:val="20"/>
        </w:rPr>
      </w:pPr>
      <w:r w:rsidRPr="00B22F92">
        <w:rPr>
          <w:rFonts w:ascii="Arial" w:hAnsi="Arial" w:cs="Arial"/>
          <w:sz w:val="20"/>
          <w:szCs w:val="20"/>
        </w:rPr>
        <w:t>eq—equivalent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°F—degree Fahrenheit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ft—feet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gal—gallon</w:t>
      </w:r>
    </w:p>
    <w:p w:rsidR="00B22F92" w:rsidRPr="00B22F92" w:rsidRDefault="00B22F92" w:rsidP="00B22F92">
      <w:pPr>
        <w:pStyle w:val="fp-1"/>
        <w:rPr>
          <w:rFonts w:ascii="Arial" w:hAnsi="Arial" w:cs="Arial"/>
          <w:sz w:val="20"/>
          <w:szCs w:val="20"/>
        </w:rPr>
      </w:pPr>
      <w:r w:rsidRPr="00B22F92">
        <w:rPr>
          <w:rFonts w:ascii="Arial" w:hAnsi="Arial" w:cs="Arial"/>
          <w:sz w:val="20"/>
          <w:szCs w:val="20"/>
        </w:rPr>
        <w:t>gr—grain</w:t>
      </w:r>
    </w:p>
    <w:p w:rsidR="00B22F92" w:rsidRPr="00B22F92" w:rsidRDefault="00B22F92" w:rsidP="00B22F92">
      <w:pPr>
        <w:pStyle w:val="fp-1"/>
        <w:rPr>
          <w:rFonts w:ascii="Arial" w:hAnsi="Arial" w:cs="Arial"/>
          <w:sz w:val="20"/>
          <w:szCs w:val="20"/>
        </w:rPr>
      </w:pPr>
      <w:r w:rsidRPr="00B22F92">
        <w:rPr>
          <w:rFonts w:ascii="Arial" w:hAnsi="Arial" w:cs="Arial"/>
          <w:sz w:val="20"/>
          <w:szCs w:val="20"/>
        </w:rPr>
        <w:t>g-eq—gram equivalent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hr—hour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in—inch</w:t>
      </w:r>
    </w:p>
    <w:p w:rsidR="00B22F92" w:rsidRPr="00B22F92" w:rsidRDefault="00B22F92" w:rsidP="00B22F92">
      <w:pPr>
        <w:pStyle w:val="fp-1"/>
        <w:rPr>
          <w:rFonts w:ascii="Arial" w:hAnsi="Arial" w:cs="Arial"/>
          <w:sz w:val="20"/>
          <w:szCs w:val="20"/>
        </w:rPr>
      </w:pPr>
      <w:r w:rsidRPr="00B22F92">
        <w:rPr>
          <w:rFonts w:ascii="Arial" w:hAnsi="Arial" w:cs="Arial"/>
          <w:sz w:val="20"/>
          <w:szCs w:val="20"/>
        </w:rPr>
        <w:t>k—1,000</w:t>
      </w:r>
    </w:p>
    <w:p w:rsidR="00B22F92" w:rsidRPr="00B22F92" w:rsidRDefault="00B22F92" w:rsidP="00B22F92">
      <w:pPr>
        <w:pStyle w:val="fp-1"/>
        <w:rPr>
          <w:rFonts w:ascii="Arial" w:hAnsi="Arial" w:cs="Arial"/>
          <w:sz w:val="20"/>
          <w:szCs w:val="20"/>
        </w:rPr>
      </w:pPr>
      <w:r w:rsidRPr="00B22F92">
        <w:rPr>
          <w:rFonts w:ascii="Arial" w:hAnsi="Arial" w:cs="Arial"/>
          <w:sz w:val="20"/>
          <w:szCs w:val="20"/>
        </w:rPr>
        <w:t>l—liter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lpm—liter per minute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lb—pound</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meq—milliequivalent</w:t>
      </w:r>
    </w:p>
    <w:p w:rsidR="006C6BBA" w:rsidRDefault="00B22F92" w:rsidP="00B22F92">
      <w:pPr>
        <w:pStyle w:val="fp-1"/>
        <w:rPr>
          <w:rFonts w:ascii="Arial" w:hAnsi="Arial" w:cs="Arial"/>
          <w:sz w:val="20"/>
          <w:szCs w:val="20"/>
        </w:rPr>
      </w:pPr>
      <w:r w:rsidRPr="00B22F92">
        <w:rPr>
          <w:rFonts w:ascii="Arial" w:hAnsi="Arial" w:cs="Arial"/>
          <w:sz w:val="20"/>
          <w:szCs w:val="20"/>
        </w:rPr>
        <w:t>min—minute</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fp-1"/>
        <w:rPr>
          <w:rFonts w:ascii="Arial" w:hAnsi="Arial" w:cs="Arial"/>
          <w:sz w:val="20"/>
          <w:szCs w:val="20"/>
        </w:rPr>
      </w:pPr>
      <w:r w:rsidRPr="00B22F92">
        <w:rPr>
          <w:rFonts w:ascii="Arial" w:hAnsi="Arial" w:cs="Arial"/>
          <w:sz w:val="20"/>
          <w:szCs w:val="20"/>
        </w:rPr>
        <w:t>ml—milliliter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mol. wt.—molecular weight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ppb—parts per billion</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ppm—parts per million</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psia—pounds per square inch absolute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psig—pounds per square inch gage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°R—degree Rankine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scf—cubic feet at standard conditions</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scfh—cubic feet per hour at standard conditions</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scm—cubic meter at standard conditions</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sec—second</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sq ft—square feet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std—at standard conditions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Chemical nomenclature: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CdS—cadmium sulfide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CO—carbon monoxide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CO</w:t>
      </w:r>
      <w:r w:rsidRPr="00B22F92">
        <w:rPr>
          <w:rFonts w:ascii="Arial" w:hAnsi="Arial" w:cs="Arial"/>
          <w:sz w:val="20"/>
          <w:szCs w:val="20"/>
          <w:vertAlign w:val="subscript"/>
        </w:rPr>
        <w:t>2</w:t>
      </w:r>
      <w:r w:rsidRPr="00B22F92">
        <w:rPr>
          <w:rFonts w:ascii="Arial" w:hAnsi="Arial" w:cs="Arial"/>
          <w:sz w:val="20"/>
          <w:szCs w:val="20"/>
        </w:rPr>
        <w:t>—carbon dioxide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HCl—hydrochloric acid</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Hg—mercury</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2</w:t>
      </w:r>
      <w:r w:rsidRPr="00B22F92">
        <w:rPr>
          <w:rFonts w:ascii="Arial" w:hAnsi="Arial" w:cs="Arial"/>
          <w:sz w:val="20"/>
          <w:szCs w:val="20"/>
        </w:rPr>
        <w:t>O—water</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2</w:t>
      </w:r>
      <w:r w:rsidRPr="00B22F92">
        <w:rPr>
          <w:rFonts w:ascii="Arial" w:hAnsi="Arial" w:cs="Arial"/>
          <w:sz w:val="20"/>
          <w:szCs w:val="20"/>
        </w:rPr>
        <w:t>S—hydrogen sulfide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2</w:t>
      </w:r>
      <w:r w:rsidRPr="00B22F92">
        <w:rPr>
          <w:rFonts w:ascii="Arial" w:hAnsi="Arial" w:cs="Arial"/>
          <w:sz w:val="20"/>
          <w:szCs w:val="20"/>
        </w:rPr>
        <w:t>SO</w:t>
      </w:r>
      <w:r w:rsidRPr="00B22F92">
        <w:rPr>
          <w:rFonts w:ascii="Arial" w:hAnsi="Arial" w:cs="Arial"/>
          <w:sz w:val="20"/>
          <w:szCs w:val="20"/>
          <w:vertAlign w:val="subscript"/>
        </w:rPr>
        <w:t>4</w:t>
      </w:r>
      <w:r w:rsidRPr="00B22F92">
        <w:rPr>
          <w:rFonts w:ascii="Arial" w:hAnsi="Arial" w:cs="Arial"/>
          <w:sz w:val="20"/>
          <w:szCs w:val="20"/>
        </w:rPr>
        <w:t>—sulfuric acid</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w:t>
      </w:r>
      <w:r w:rsidRPr="00B22F92">
        <w:rPr>
          <w:rFonts w:ascii="Arial" w:hAnsi="Arial" w:cs="Arial"/>
          <w:sz w:val="20"/>
          <w:szCs w:val="20"/>
          <w:vertAlign w:val="subscript"/>
        </w:rPr>
        <w:t>2</w:t>
      </w:r>
      <w:r w:rsidRPr="00B22F92">
        <w:rPr>
          <w:rFonts w:ascii="Arial" w:hAnsi="Arial" w:cs="Arial"/>
          <w:sz w:val="20"/>
          <w:szCs w:val="20"/>
        </w:rPr>
        <w:t>—nitrogen</w:t>
      </w:r>
    </w:p>
    <w:p w:rsidR="006C6BBA" w:rsidRDefault="00B22F92" w:rsidP="00B22F92">
      <w:pPr>
        <w:pStyle w:val="fp-1"/>
        <w:rPr>
          <w:rFonts w:ascii="Arial" w:hAnsi="Arial" w:cs="Arial"/>
          <w:sz w:val="20"/>
          <w:szCs w:val="20"/>
        </w:rPr>
      </w:pPr>
      <w:r w:rsidRPr="00B22F92">
        <w:rPr>
          <w:rFonts w:ascii="Arial" w:hAnsi="Arial" w:cs="Arial"/>
          <w:sz w:val="20"/>
          <w:szCs w:val="20"/>
        </w:rPr>
        <w:t>NO—nitric oxide</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fp-1"/>
        <w:rPr>
          <w:rFonts w:ascii="Arial" w:hAnsi="Arial" w:cs="Arial"/>
          <w:sz w:val="20"/>
          <w:szCs w:val="20"/>
        </w:rPr>
      </w:pPr>
      <w:r w:rsidRPr="00B22F92">
        <w:rPr>
          <w:rFonts w:ascii="Arial" w:hAnsi="Arial" w:cs="Arial"/>
          <w:sz w:val="20"/>
          <w:szCs w:val="20"/>
        </w:rPr>
        <w:t>NO</w:t>
      </w:r>
      <w:r w:rsidRPr="00B22F92">
        <w:rPr>
          <w:rFonts w:ascii="Arial" w:hAnsi="Arial" w:cs="Arial"/>
          <w:sz w:val="20"/>
          <w:szCs w:val="20"/>
          <w:vertAlign w:val="subscript"/>
        </w:rPr>
        <w:t>2</w:t>
      </w:r>
      <w:r w:rsidRPr="00B22F92">
        <w:rPr>
          <w:rFonts w:ascii="Arial" w:hAnsi="Arial" w:cs="Arial"/>
          <w:sz w:val="20"/>
          <w:szCs w:val="20"/>
        </w:rPr>
        <w:t>—nitrogen dioxide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NO</w:t>
      </w:r>
      <w:r w:rsidRPr="00B22F92">
        <w:rPr>
          <w:rFonts w:ascii="Arial" w:hAnsi="Arial" w:cs="Arial"/>
          <w:sz w:val="20"/>
          <w:szCs w:val="20"/>
          <w:vertAlign w:val="subscript"/>
        </w:rPr>
        <w:t>X</w:t>
      </w:r>
      <w:r w:rsidRPr="00B22F92">
        <w:rPr>
          <w:rFonts w:ascii="Arial" w:hAnsi="Arial" w:cs="Arial"/>
          <w:sz w:val="20"/>
          <w:szCs w:val="20"/>
        </w:rPr>
        <w:t>—nitrogen oxides</w:t>
      </w:r>
    </w:p>
    <w:p w:rsidR="00B22F92" w:rsidRPr="00B22F92" w:rsidRDefault="00B22F92" w:rsidP="00B22F92">
      <w:pPr>
        <w:pStyle w:val="fp-1"/>
        <w:rPr>
          <w:rFonts w:ascii="Arial" w:hAnsi="Arial" w:cs="Arial"/>
          <w:sz w:val="20"/>
          <w:szCs w:val="20"/>
        </w:rPr>
      </w:pPr>
      <w:r w:rsidRPr="00B22F92">
        <w:rPr>
          <w:rFonts w:ascii="Arial" w:hAnsi="Arial" w:cs="Arial"/>
          <w:sz w:val="20"/>
          <w:szCs w:val="20"/>
        </w:rPr>
        <w:t>O</w:t>
      </w:r>
      <w:r w:rsidRPr="00B22F92">
        <w:rPr>
          <w:rFonts w:ascii="Arial" w:hAnsi="Arial" w:cs="Arial"/>
          <w:sz w:val="20"/>
          <w:szCs w:val="20"/>
          <w:vertAlign w:val="subscript"/>
        </w:rPr>
        <w:t>2</w:t>
      </w:r>
      <w:r w:rsidRPr="00B22F92">
        <w:rPr>
          <w:rFonts w:ascii="Arial" w:hAnsi="Arial" w:cs="Arial"/>
          <w:sz w:val="20"/>
          <w:szCs w:val="20"/>
        </w:rPr>
        <w:t>—oxygen</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SO</w:t>
      </w:r>
      <w:r w:rsidRPr="00B22F92">
        <w:rPr>
          <w:rFonts w:ascii="Arial" w:hAnsi="Arial" w:cs="Arial"/>
          <w:sz w:val="20"/>
          <w:szCs w:val="20"/>
          <w:vertAlign w:val="subscript"/>
        </w:rPr>
        <w:t>2</w:t>
      </w:r>
      <w:r w:rsidRPr="00B22F92">
        <w:rPr>
          <w:rFonts w:ascii="Arial" w:hAnsi="Arial" w:cs="Arial"/>
          <w:sz w:val="20"/>
          <w:szCs w:val="20"/>
        </w:rPr>
        <w:t>—sulfur dioxide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SO</w:t>
      </w:r>
      <w:r w:rsidRPr="00B22F92">
        <w:rPr>
          <w:rFonts w:ascii="Arial" w:hAnsi="Arial" w:cs="Arial"/>
          <w:sz w:val="20"/>
          <w:szCs w:val="20"/>
          <w:vertAlign w:val="subscript"/>
        </w:rPr>
        <w:t>3</w:t>
      </w:r>
      <w:r w:rsidRPr="00B22F92">
        <w:rPr>
          <w:rFonts w:ascii="Arial" w:hAnsi="Arial" w:cs="Arial"/>
          <w:sz w:val="20"/>
          <w:szCs w:val="20"/>
        </w:rPr>
        <w:t>—sulfur trioxide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SO</w:t>
      </w:r>
      <w:r w:rsidRPr="00B22F92">
        <w:rPr>
          <w:rFonts w:ascii="Arial" w:hAnsi="Arial" w:cs="Arial"/>
          <w:sz w:val="20"/>
          <w:szCs w:val="20"/>
          <w:vertAlign w:val="subscript"/>
        </w:rPr>
        <w:t>X</w:t>
      </w:r>
      <w:r w:rsidRPr="00B22F92">
        <w:rPr>
          <w:rFonts w:ascii="Arial" w:hAnsi="Arial" w:cs="Arial"/>
          <w:sz w:val="20"/>
          <w:szCs w:val="20"/>
        </w:rPr>
        <w:t>—sulfur oxides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 Miscellaneous:</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A.S.T.M.—American Society for Testing and Materials</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[42 FR 37000, July 19, 1977; 42 FR 38178, July 27, 1977]</w:t>
      </w:r>
    </w:p>
    <w:p w:rsidR="00B22F92" w:rsidRPr="00B22F92" w:rsidRDefault="008B0C90" w:rsidP="00B22F92">
      <w:pPr>
        <w:pStyle w:val="fp"/>
        <w:rPr>
          <w:rFonts w:ascii="Arial" w:hAnsi="Arial" w:cs="Arial"/>
          <w:sz w:val="20"/>
          <w:szCs w:val="20"/>
        </w:rPr>
      </w:pPr>
      <w:hyperlink r:id="rId34" w:anchor="_top" w:history="1">
        <w:r w:rsidR="00B22F92" w:rsidRPr="00B22F92">
          <w:rPr>
            <w:rFonts w:ascii="Arial" w:hAnsi="Arial" w:cs="Arial"/>
            <w:noProof/>
            <w:color w:val="0000FF"/>
            <w:sz w:val="20"/>
            <w:szCs w:val="20"/>
          </w:rPr>
          <w:drawing>
            <wp:inline distT="0" distB="0" distL="0" distR="0">
              <wp:extent cx="156845" cy="156845"/>
              <wp:effectExtent l="0" t="0" r="0" b="0"/>
              <wp:docPr id="24" name="Picture 24"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5" w:name="40:7.0.1.1.1.1.151.4"/>
      <w:bookmarkEnd w:id="5"/>
      <w:r w:rsidRPr="00B22F92">
        <w:rPr>
          <w:rFonts w:ascii="Arial" w:hAnsi="Arial" w:cs="Arial"/>
          <w:sz w:val="20"/>
          <w:szCs w:val="20"/>
        </w:rPr>
        <w:t>§60.4   Address.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B22F92" w:rsidRPr="00B22F92" w:rsidRDefault="00B22F92" w:rsidP="00B22F92">
      <w:pPr>
        <w:pStyle w:val="fp-1"/>
        <w:rPr>
          <w:rFonts w:ascii="Arial" w:hAnsi="Arial" w:cs="Arial"/>
          <w:sz w:val="20"/>
          <w:szCs w:val="20"/>
        </w:rPr>
      </w:pPr>
      <w:r w:rsidRPr="00B22F92">
        <w:rPr>
          <w:rFonts w:ascii="Arial" w:hAnsi="Arial" w:cs="Arial"/>
          <w:sz w:val="20"/>
          <w:szCs w:val="20"/>
        </w:rPr>
        <w:t>Region I (Connecticut, Maine, Massachusetts, New Hampshire, Rhode Island, Vermont), Director, Office of Ecosystem Protection, U.S. Environmental Protection Agency, 5 Post Office Square—Suite 100, Boston, MA 02109-3912.</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Region II (New Jersey, New York, Puerto Rico, Virgin Islands), Director, Air and Waste Management Division, U.S. Environmental Protection Agency, Federal Office Building, 26 Federal Plaza (Foley Square), New York, NY 10278. </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Region III (Delaware, District of Columbia, Maryland, Pennsylvania, Virginia, West Virginia), Director, Air Protection Division, Mail Code 3AP00, 1650 Arch Street, Philadelphia, PA 19103-2029. </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B22F92" w:rsidRPr="00B22F92" w:rsidRDefault="00B22F92" w:rsidP="00B22F92">
      <w:pPr>
        <w:pStyle w:val="fp-1"/>
        <w:rPr>
          <w:rFonts w:ascii="Arial" w:hAnsi="Arial" w:cs="Arial"/>
          <w:sz w:val="20"/>
          <w:szCs w:val="20"/>
        </w:rPr>
      </w:pPr>
      <w:r w:rsidRPr="00B22F92">
        <w:rPr>
          <w:rFonts w:ascii="Arial" w:hAnsi="Arial" w:cs="Arial"/>
          <w:sz w:val="20"/>
          <w:szCs w:val="20"/>
        </w:rPr>
        <w:t xml:space="preserve">Region V (Illinois, Indiana, Michigan, Minnesota, Ohio, Wisconsin), Director, Air and Radiation Division, U.S. Environmental Protection Agency, 77 West Jackson Boulevard, Chicago, IL 60604-3590. </w:t>
      </w:r>
    </w:p>
    <w:p w:rsidR="006C6BBA" w:rsidRDefault="00B22F92" w:rsidP="00B22F92">
      <w:pPr>
        <w:pStyle w:val="fp-1"/>
        <w:rPr>
          <w:rFonts w:ascii="Arial" w:hAnsi="Arial" w:cs="Arial"/>
          <w:sz w:val="20"/>
          <w:szCs w:val="20"/>
        </w:rPr>
      </w:pPr>
      <w:r w:rsidRPr="00B22F92">
        <w:rPr>
          <w:rFonts w:ascii="Arial" w:hAnsi="Arial" w:cs="Arial"/>
          <w:sz w:val="20"/>
          <w:szCs w:val="20"/>
        </w:rPr>
        <w:t>Region VI (Arkansas, Louisiana, New Mexico, Oklahoma, Texas); Director; Air, Pesticides, and Toxics Division; U.S. Environmental Protection Agency, 1445 Ross Avenue, Dallas, TX 75202.</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fp-1"/>
        <w:rPr>
          <w:rFonts w:ascii="Arial" w:hAnsi="Arial" w:cs="Arial"/>
          <w:sz w:val="20"/>
          <w:szCs w:val="20"/>
        </w:rPr>
      </w:pPr>
      <w:r w:rsidRPr="00B22F92">
        <w:rPr>
          <w:rFonts w:ascii="Arial" w:hAnsi="Arial" w:cs="Arial"/>
          <w:sz w:val="20"/>
          <w:szCs w:val="20"/>
        </w:rPr>
        <w:t>Region VII (Iowa, Kansas, Missouri, Nebraska), Director, Air and Waste Management Division, 11201 Renner Boulevard, Lenexa, Kansas 66219.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Region VIII (Colorado, Montana, North Dakota, South Dakota, Utah, Wyoming) Director, Air and Toxics Technical Enforcement Program, Office of Enforcement, Compliance and Environmental Justice, Mail Code 8ENF-AT, 1595 Wynkoop Street, Denver, CO 80202-1129.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B22F92" w:rsidRPr="00B22F92" w:rsidRDefault="00B22F92" w:rsidP="00B22F92">
      <w:pPr>
        <w:pStyle w:val="fp-1"/>
        <w:rPr>
          <w:rFonts w:ascii="Arial" w:hAnsi="Arial" w:cs="Arial"/>
          <w:sz w:val="20"/>
          <w:szCs w:val="20"/>
        </w:rPr>
      </w:pPr>
      <w:r w:rsidRPr="00B22F92">
        <w:rPr>
          <w:rFonts w:ascii="Arial" w:hAnsi="Arial" w:cs="Arial"/>
          <w:sz w:val="20"/>
          <w:szCs w:val="20"/>
        </w:rPr>
        <w:t>Region X (Alaska, Oregon, Idaho, Washington), Director, Air and Waste Management Division, U.S. Environmental Protection Agency, 1200 Sixth Avenue, Seattle, WA 98101.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[Reserved]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State of Alabama: Alabama Department of Environmental Management, P.O. Box 301463, Montgomery, Alabama 36130-1463.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State of Alaska, Department of Environmental Conservation, Pouch O, Juneau, AK 99811.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 Arizona:</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Arizona Department of Environmental Quality, 1110 West Washington Street, Phoenix, AZ 85007.</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Maricopa County Air Quality Department, 1001 North Central Avenue, Suite 900, Phoenix, AZ 85004.</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Pima County Department of Environmental Quality, 33 North Stone Avenue, Suite 700, Tucson, AZ 85701.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Pinal County Air Quality Control District, 31 North Pinal Street, Building F, Florence, AZ 85132.</w:t>
      </w:r>
    </w:p>
    <w:p w:rsidR="006C6BBA"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te"/>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(E) State of Arkansas: Chief, Division of Air Pollution Control, Arkansas Department of Pollution Control and Ecology, 8001 National Drive, P.O. Box 9583, Little Rock, AR 72209.</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(F) California:</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Amador County Air Pollution Control District, 12200-B Airport Road, Jackson, CA 95642.</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Antelope Valley Air Quality Management District, 43301 Division Street, Suite 206, Lancaster, CA 93535.</w:t>
      </w:r>
    </w:p>
    <w:p w:rsidR="00B22F92" w:rsidRPr="00B22F92" w:rsidRDefault="00B22F92" w:rsidP="00B22F92">
      <w:pPr>
        <w:pStyle w:val="fp-1"/>
        <w:rPr>
          <w:rFonts w:ascii="Arial" w:hAnsi="Arial" w:cs="Arial"/>
          <w:sz w:val="20"/>
          <w:szCs w:val="20"/>
        </w:rPr>
      </w:pPr>
      <w:r w:rsidRPr="00B22F92">
        <w:rPr>
          <w:rFonts w:ascii="Arial" w:hAnsi="Arial" w:cs="Arial"/>
          <w:sz w:val="20"/>
          <w:szCs w:val="20"/>
        </w:rPr>
        <w:t>Bay Area Air Quality Management District, 939 Ellis Street, San Francisco, CA 94109.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Butte County Air Quality Management District, 2525 Dominic Drive, Suite J, Chico, CA 95928.</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Calaveras County Air Pollution Control District, 891 Mountain Ranch Road, San Andreas, CA 95249.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Colusa County Air Pollution Control District, 100 Sunrise Blvd., Suite A-3, Colusa, CA 95932-3246.</w:t>
      </w:r>
    </w:p>
    <w:p w:rsidR="00B22F92" w:rsidRPr="00B22F92" w:rsidRDefault="00B22F92" w:rsidP="00B22F92">
      <w:pPr>
        <w:pStyle w:val="fp-1"/>
        <w:rPr>
          <w:rFonts w:ascii="Arial" w:hAnsi="Arial" w:cs="Arial"/>
          <w:sz w:val="20"/>
          <w:szCs w:val="20"/>
        </w:rPr>
      </w:pPr>
      <w:r w:rsidRPr="00B22F92">
        <w:rPr>
          <w:rFonts w:ascii="Arial" w:hAnsi="Arial" w:cs="Arial"/>
          <w:sz w:val="20"/>
          <w:szCs w:val="20"/>
        </w:rPr>
        <w:t>El Dorado County Air Quality Management District, 2850 Fairlane Court, Bldg. C, Placerville, CA 95667-4100.</w:t>
      </w:r>
    </w:p>
    <w:p w:rsidR="00B22F92" w:rsidRPr="00B22F92" w:rsidRDefault="00B22F92" w:rsidP="00B22F92">
      <w:pPr>
        <w:pStyle w:val="fp-1"/>
        <w:rPr>
          <w:rFonts w:ascii="Arial" w:hAnsi="Arial" w:cs="Arial"/>
          <w:sz w:val="20"/>
          <w:szCs w:val="20"/>
        </w:rPr>
      </w:pPr>
      <w:r w:rsidRPr="00B22F92">
        <w:rPr>
          <w:rFonts w:ascii="Arial" w:hAnsi="Arial" w:cs="Arial"/>
          <w:sz w:val="20"/>
          <w:szCs w:val="20"/>
        </w:rPr>
        <w:t>Eastern Kern Air Pollution Control District, 2700 “M” Street, Suite 302, Bakersfield, CA 93301-2370.</w:t>
      </w:r>
    </w:p>
    <w:p w:rsidR="00B22F92" w:rsidRPr="00B22F92" w:rsidRDefault="00B22F92" w:rsidP="00B22F92">
      <w:pPr>
        <w:pStyle w:val="fp-1"/>
        <w:rPr>
          <w:rFonts w:ascii="Arial" w:hAnsi="Arial" w:cs="Arial"/>
          <w:sz w:val="20"/>
          <w:szCs w:val="20"/>
        </w:rPr>
      </w:pPr>
      <w:r w:rsidRPr="00B22F92">
        <w:rPr>
          <w:rFonts w:ascii="Arial" w:hAnsi="Arial" w:cs="Arial"/>
          <w:sz w:val="20"/>
          <w:szCs w:val="20"/>
        </w:rPr>
        <w:t>Feather River Air Quality Management District, 1007 Live Oak Blvd., Suite B-3, Yuba City, CA 95991.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Glenn County Air Pollution Control District, 720 N. Colusa Street, P.O. Box 351, Willows, CA 95988-0351.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Great Basin Unified Air Pollution Control District, 157 Short Street, Suite 6, Bishop, CA 93514-3537.</w:t>
      </w:r>
    </w:p>
    <w:p w:rsidR="00B22F92" w:rsidRPr="00B22F92" w:rsidRDefault="00B22F92" w:rsidP="00B22F92">
      <w:pPr>
        <w:pStyle w:val="fp-1"/>
        <w:rPr>
          <w:rFonts w:ascii="Arial" w:hAnsi="Arial" w:cs="Arial"/>
          <w:sz w:val="20"/>
          <w:szCs w:val="20"/>
        </w:rPr>
      </w:pPr>
      <w:r w:rsidRPr="00B22F92">
        <w:rPr>
          <w:rFonts w:ascii="Arial" w:hAnsi="Arial" w:cs="Arial"/>
          <w:sz w:val="20"/>
          <w:szCs w:val="20"/>
        </w:rPr>
        <w:t>Imperial County Air Pollution Control District, 150 South Ninth Street, El Centro, CA 92243-2801.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Lake County Air Quality Management District, 885 Lakeport Blvd., Lakeport, CA 95453-5405.</w:t>
      </w:r>
    </w:p>
    <w:p w:rsidR="00B22F92" w:rsidRPr="00B22F92" w:rsidRDefault="00B22F92" w:rsidP="00B22F92">
      <w:pPr>
        <w:pStyle w:val="fp-1"/>
        <w:rPr>
          <w:rFonts w:ascii="Arial" w:hAnsi="Arial" w:cs="Arial"/>
          <w:sz w:val="20"/>
          <w:szCs w:val="20"/>
        </w:rPr>
      </w:pPr>
      <w:r w:rsidRPr="00B22F92">
        <w:rPr>
          <w:rFonts w:ascii="Arial" w:hAnsi="Arial" w:cs="Arial"/>
          <w:sz w:val="20"/>
          <w:szCs w:val="20"/>
        </w:rPr>
        <w:t>Lassen County Air Pollution Control District, 707 Nevada Street, Suite 1, Susanville, CA 96130.</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Mariposa County Air Pollution Control District, P.O. Box 5, Mariposa, CA 95338.</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Mendocino County Air Quality Management District, 306 E. Gobbi Street, Ukiah, CA 95482-5511.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Modoc County Air Pollution Control District, 619 North Main Street, Alturas, CA 96101.</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Mojave Desert Air Quality Management District, 14306 Park Avenue, Victorville, CA 92392-2310.</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Monterey Bay Unified Air Pollution Control District, 24580 Silver Cloud Court, Monterey, CA 93940.</w:t>
      </w:r>
    </w:p>
    <w:p w:rsidR="006C6BBA" w:rsidRDefault="00B22F92" w:rsidP="00B22F92">
      <w:pPr>
        <w:pStyle w:val="fp-1"/>
        <w:rPr>
          <w:rFonts w:ascii="Arial" w:hAnsi="Arial" w:cs="Arial"/>
          <w:sz w:val="20"/>
          <w:szCs w:val="20"/>
        </w:rPr>
      </w:pPr>
      <w:r w:rsidRPr="00B22F92">
        <w:rPr>
          <w:rFonts w:ascii="Arial" w:hAnsi="Arial" w:cs="Arial"/>
          <w:sz w:val="20"/>
          <w:szCs w:val="20"/>
        </w:rPr>
        <w:t>North Coast Unified Air Quality Management District, 2300 Myrtle Avenue, Eureka, CA 95501-3327.</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fp-1"/>
        <w:rPr>
          <w:rFonts w:ascii="Arial" w:hAnsi="Arial" w:cs="Arial"/>
          <w:sz w:val="20"/>
          <w:szCs w:val="20"/>
        </w:rPr>
      </w:pPr>
      <w:r w:rsidRPr="00B22F92">
        <w:rPr>
          <w:rFonts w:ascii="Arial" w:hAnsi="Arial" w:cs="Arial"/>
          <w:sz w:val="20"/>
          <w:szCs w:val="20"/>
        </w:rPr>
        <w:t>Northern Sierra Air Quality Management District, 200 Litton Drive, Suite 320, P.O. Box 2509, Grass Valley, CA 95945-2509.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Northern Sonoma County Air Pollution Control District, 150 Matheson Street, Healdsburg, CA 95448-4908.</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Placer County Air Pollution Control District, 3091 County Center Drive, Suite 240, Auburn, CA 95603.</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Sacramento Metropolitan Air Quality Management District, 777 12th Street, Third Floor, Sacramento, CA 95814-1908.</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San Diego County Air Pollution Control District, 10124 Old Grove Road, San Diego, CA 92131-1649.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San Joaquin Valley Air Pollution Control District, 1990 E. Gettysburg, Fresno, CA 93726.</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San Luis Obispo County Air Pollution Control District, 3433 Roberto Court, San Luis Obispo, CA 93401-7126.</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Santa Barbara County Air Pollution Control District, 260 North San Antonio Road, Suite A, Santa Barbara, CA 93110-1315.</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Shasta County Air Quality Management District, 1855 Placer Street, Suite 101, Redding, CA 96001-1759.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Siskiyou County Air Pollution Control District, 525 So. Foothill Drive, Yreka, CA 96097-3036.</w:t>
      </w:r>
    </w:p>
    <w:p w:rsidR="00B22F92" w:rsidRPr="00B22F92" w:rsidRDefault="00B22F92" w:rsidP="00B22F92">
      <w:pPr>
        <w:pStyle w:val="fp-1"/>
        <w:rPr>
          <w:rFonts w:ascii="Arial" w:hAnsi="Arial" w:cs="Arial"/>
          <w:sz w:val="20"/>
          <w:szCs w:val="20"/>
        </w:rPr>
      </w:pPr>
      <w:r w:rsidRPr="00B22F92">
        <w:rPr>
          <w:rFonts w:ascii="Arial" w:hAnsi="Arial" w:cs="Arial"/>
          <w:sz w:val="20"/>
          <w:szCs w:val="20"/>
        </w:rPr>
        <w:t>South Coast Air Quality Management District, 21865 Copley Drive, Diamond Bar, CA 91765-4182.</w:t>
      </w:r>
    </w:p>
    <w:p w:rsidR="00B22F92" w:rsidRPr="00B22F92" w:rsidRDefault="00B22F92" w:rsidP="00B22F92">
      <w:pPr>
        <w:pStyle w:val="fp-1"/>
        <w:rPr>
          <w:rFonts w:ascii="Arial" w:hAnsi="Arial" w:cs="Arial"/>
          <w:sz w:val="20"/>
          <w:szCs w:val="20"/>
        </w:rPr>
      </w:pPr>
      <w:r w:rsidRPr="00B22F92">
        <w:rPr>
          <w:rFonts w:ascii="Arial" w:hAnsi="Arial" w:cs="Arial"/>
          <w:sz w:val="20"/>
          <w:szCs w:val="20"/>
        </w:rPr>
        <w:t>Tehama County Air Pollution Control District, P.O. Box 8069 (1750 Walnut Street), Red Bluff, CA 96080-0038.</w:t>
      </w:r>
    </w:p>
    <w:p w:rsidR="00B22F92" w:rsidRPr="00B22F92" w:rsidRDefault="00B22F92" w:rsidP="00B22F92">
      <w:pPr>
        <w:pStyle w:val="fp-1"/>
        <w:rPr>
          <w:rFonts w:ascii="Arial" w:hAnsi="Arial" w:cs="Arial"/>
          <w:sz w:val="20"/>
          <w:szCs w:val="20"/>
        </w:rPr>
      </w:pPr>
      <w:r w:rsidRPr="00B22F92">
        <w:rPr>
          <w:rFonts w:ascii="Arial" w:hAnsi="Arial" w:cs="Arial"/>
          <w:sz w:val="20"/>
          <w:szCs w:val="20"/>
        </w:rPr>
        <w:t>Tuolumne County Air Pollution Control District, 22365 Airport, Columbia, CA 95310.</w:t>
      </w:r>
    </w:p>
    <w:p w:rsidR="00B22F92" w:rsidRPr="00B22F92" w:rsidRDefault="00B22F92" w:rsidP="00B22F92">
      <w:pPr>
        <w:pStyle w:val="fp-1"/>
        <w:rPr>
          <w:rFonts w:ascii="Arial" w:hAnsi="Arial" w:cs="Arial"/>
          <w:sz w:val="20"/>
          <w:szCs w:val="20"/>
        </w:rPr>
      </w:pPr>
      <w:r w:rsidRPr="00B22F92">
        <w:rPr>
          <w:rFonts w:ascii="Arial" w:hAnsi="Arial" w:cs="Arial"/>
          <w:sz w:val="20"/>
          <w:szCs w:val="20"/>
        </w:rPr>
        <w:t>Ventura County Air Pollution Control District, 669 County Square Drive, 2nd Floor, Ventura, CA 93003-5417.</w:t>
      </w:r>
    </w:p>
    <w:p w:rsidR="00B22F92" w:rsidRPr="00B22F92" w:rsidRDefault="00B22F92" w:rsidP="00B22F92">
      <w:pPr>
        <w:pStyle w:val="fp-1"/>
        <w:rPr>
          <w:rFonts w:ascii="Arial" w:hAnsi="Arial" w:cs="Arial"/>
          <w:sz w:val="20"/>
          <w:szCs w:val="20"/>
        </w:rPr>
      </w:pPr>
      <w:r w:rsidRPr="00B22F92">
        <w:rPr>
          <w:rFonts w:ascii="Arial" w:hAnsi="Arial" w:cs="Arial"/>
          <w:sz w:val="20"/>
          <w:szCs w:val="20"/>
        </w:rPr>
        <w:t>Yolo-Solano Air Quality Management District, 1947 Galileo Court, Suite 103, Davis, CA 95616-4882.</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(G) State of Colorado, Department of Public Health and Environment, 4300 Cherry Creek Drive South, Denver, CO 80222-1530. </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paragraph (c) of this section.</w:t>
      </w:r>
    </w:p>
    <w:p w:rsidR="006C6BBA" w:rsidRDefault="00B22F92" w:rsidP="00B22F92">
      <w:pPr>
        <w:pStyle w:val="NormalWeb"/>
        <w:rPr>
          <w:rFonts w:ascii="Arial" w:hAnsi="Arial" w:cs="Arial"/>
          <w:sz w:val="20"/>
          <w:szCs w:val="20"/>
        </w:rPr>
      </w:pPr>
      <w:r w:rsidRPr="00B22F92">
        <w:rPr>
          <w:rFonts w:ascii="Arial" w:hAnsi="Arial" w:cs="Arial"/>
          <w:sz w:val="20"/>
          <w:szCs w:val="20"/>
        </w:rPr>
        <w:t>(H) State of Connecticut, Bureau of Air Management, Department of Environmental Protection, State Office Building, 165 Capitol Avenue, Hartford, CT 06106.</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State of Delaware, Department of Natural Resources &amp; Environmental Control, 89 Kings Highway, P.O. Box 1401, Dover, Delaware 19903.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(J) District of Columbia, Department of Public Health, Air Quality Division, 51 N Street, NE., Washington, DC 20002.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(K) State of Florida: Florida Department of Environmental Protection, Division of Air Resources Management, 2600 Blair Stone Road, MS 5500, Tallahassee, Florida 32399-2400.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(L) State of Georgia: Georgia Department of Natural Resources, Environmental Protection Division, Air Protection Branch, 4244 International Parkway, Suite 120, Atlanta, Georgia 30354.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(M) Hawaii:</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Clean Air Branch, Hawaii Department of Health, 919 Ala Moana Blvd., Suite 203, Honolulu, HI 96814.</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(N) State of Idaho, Department of Health and Welfare, Statehouse, Boise, ID 83701.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(O) State of Illinois: Illinois Environmental Protection Agency, 1021 North Grand Avenue East, Springfield, Illinois 62794.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(P) State of Indiana: Indiana Department of Environmental Management, Office of Air Quality, 100 North Senate Avenue, Indianapolis, Indiana 46204.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(Q) State of Iowa: Iowa Department of Natural Resources, Environmental Protection Division, Air Quality Bureau, 7900 Hickman Road, Suite 1, Urbandale, IA 50322.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(R) State of Kansas: Kansas Department of Health and Environment, Bureau of Air and Radiation, 1000 S.W. Jackson, Suite 310, Topeka, KS 66612-1366.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(S) Commonwealth of Kentucky: Commonwealth of Kentucky, Energy and Environment Cabinet, Department of Environmental Protection, Division for Air Quality, 200 Fair Oaks Lane, 1st Floor, Frankfort, Kentucky 40610-1403.</w:t>
      </w:r>
    </w:p>
    <w:p w:rsidR="00B22F92" w:rsidRPr="00B22F92" w:rsidRDefault="00B22F92" w:rsidP="00B22F92">
      <w:pPr>
        <w:pStyle w:val="fp-1"/>
        <w:rPr>
          <w:rFonts w:ascii="Arial" w:hAnsi="Arial" w:cs="Arial"/>
          <w:sz w:val="20"/>
          <w:szCs w:val="20"/>
        </w:rPr>
      </w:pPr>
      <w:r w:rsidRPr="00B22F92">
        <w:rPr>
          <w:rFonts w:ascii="Arial" w:hAnsi="Arial" w:cs="Arial"/>
          <w:sz w:val="20"/>
          <w:szCs w:val="20"/>
        </w:rPr>
        <w:t>Louisville Metro Air Pollution Control District, 850 Barret Avenue, Louisville, Kentucky 40204.</w:t>
      </w:r>
    </w:p>
    <w:p w:rsidR="006C6BBA" w:rsidRDefault="00B22F92" w:rsidP="00B22F92">
      <w:pPr>
        <w:pStyle w:val="NormalWeb"/>
        <w:rPr>
          <w:rFonts w:ascii="Arial" w:hAnsi="Arial" w:cs="Arial"/>
          <w:sz w:val="20"/>
          <w:szCs w:val="20"/>
        </w:rPr>
      </w:pPr>
      <w:r w:rsidRPr="00B22F92">
        <w:rPr>
          <w:rFonts w:ascii="Arial" w:hAnsi="Arial" w:cs="Arial"/>
          <w:sz w:val="20"/>
          <w:szCs w:val="20"/>
        </w:rPr>
        <w:t xml:space="preserve">(T) State Louisiana: Louisiana Department of Environmental Quality, P.O. Box 4301, Baton Rouge, Louisiana 70821-4301. For a list of delegated standards for Louisiana (excluding Indian country), see paragraph (e)(2) of this section. </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(U) State of Maine, Bureau of Air Quality Control, Department of Environmental Protection, State House, Station No. 17, Augusta, ME 04333.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 State of Maryland, Department of the Environment, 1800 Washington Boulevard, Suite 705, Baltimore, Maryland 21230.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(W) Commonwealth of Massachusetts, Division of Air Quality Control, Department of Environmental Protection, One Winter Street, 7th floor, Boston, MA 02108.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(X) State of Michigan: Michigan Department of Natural Resources and Environment, Air Quality Division, P.O. Box 30028, Lansing, Michigan 48909.</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(Y) State of Minnesota: Minnesota Pollution Control Agency, Division of Air Quality, 520 Lafayette Road North, St. Paul, Minnesota 55155.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(AA) State of Missouri: Missouri Department of Natural Resources, Division of Environmental Quality, P.O. Box 176, Jefferson City, MO 65102.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(BB) State of Montana, Department of Environmental Quality, 1520 E. 6th Ave., PO Box 200901, Helena, MT 59620-0901.</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paragraph (c)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(CC) State of Nebraska, Nebraska Department of Environmental Control, P.O. Box 94877, State House Station, Lincoln, NE 68509. </w:t>
      </w:r>
    </w:p>
    <w:p w:rsidR="00B22F92" w:rsidRPr="00B22F92" w:rsidRDefault="00B22F92" w:rsidP="00B22F92">
      <w:pPr>
        <w:pStyle w:val="fp-1"/>
        <w:rPr>
          <w:rFonts w:ascii="Arial" w:hAnsi="Arial" w:cs="Arial"/>
          <w:sz w:val="20"/>
          <w:szCs w:val="20"/>
        </w:rPr>
      </w:pPr>
      <w:r w:rsidRPr="00B22F92">
        <w:rPr>
          <w:rFonts w:ascii="Arial" w:hAnsi="Arial" w:cs="Arial"/>
          <w:sz w:val="20"/>
          <w:szCs w:val="20"/>
        </w:rPr>
        <w:t>Lincoln-Lancaster County Health Department, Division of Environmental Health, 2200 St. Marys Avenue, Lincoln, NE 68502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(DD) Nevada:</w:t>
      </w:r>
    </w:p>
    <w:p w:rsidR="00B22F92" w:rsidRPr="00B22F92" w:rsidRDefault="00B22F92" w:rsidP="00B22F92">
      <w:pPr>
        <w:pStyle w:val="fp-1"/>
        <w:rPr>
          <w:rFonts w:ascii="Arial" w:hAnsi="Arial" w:cs="Arial"/>
          <w:sz w:val="20"/>
          <w:szCs w:val="20"/>
        </w:rPr>
      </w:pPr>
      <w:r w:rsidRPr="00B22F92">
        <w:rPr>
          <w:rFonts w:ascii="Arial" w:hAnsi="Arial" w:cs="Arial"/>
          <w:sz w:val="20"/>
          <w:szCs w:val="20"/>
        </w:rPr>
        <w:t>Nevada Division of Environmental Protection, 901 South Stewart Street, Suite 4001, Carson City, NV 89701-5249.</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Clark County Department of Air Quality and Environmental Management, 500 S. Grand Central Parkway, 1st Floor, P.O. Box 555210, Las Vegas, NV 89155-5210.</w:t>
      </w:r>
    </w:p>
    <w:p w:rsidR="006C6BBA" w:rsidRDefault="00B22F92" w:rsidP="00B22F92">
      <w:pPr>
        <w:pStyle w:val="fp-1"/>
        <w:rPr>
          <w:rFonts w:ascii="Arial" w:hAnsi="Arial" w:cs="Arial"/>
          <w:sz w:val="20"/>
          <w:szCs w:val="20"/>
        </w:rPr>
      </w:pPr>
      <w:r w:rsidRPr="00B22F92">
        <w:rPr>
          <w:rFonts w:ascii="Arial" w:hAnsi="Arial" w:cs="Arial"/>
          <w:sz w:val="20"/>
          <w:szCs w:val="20"/>
        </w:rPr>
        <w:t>Washoe County Health District, Air Quality Management Division, 1001 E. 9th Street, Building A, Suite 115A, Reno, NV 89520.</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(EE) State of New Hampshire, Air Resources Division, Department of Environmental Services, 64 North Main Street, Caller Box 2033, Concord, NH 03302-2033.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(FF) State of New Jersey: New Jersey Department of Environmental Protection, Division of Environmental Quality, Enforcement Element, John Fitch Plaza, CN-027, Trenton, NJ 08625.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97"/>
        <w:gridCol w:w="5666"/>
        <w:gridCol w:w="825"/>
        <w:gridCol w:w="636"/>
        <w:gridCol w:w="832"/>
        <w:gridCol w:w="934"/>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State</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Virgin Islands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Clearners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Plants;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(GG) State of New Mexico: New Mexico Environment Department, 1190 St. Francis Drive, P.O. Box 26110, Santa Fe, New Mexico 87502. Note: For a list of delegated standards for New Mexico (excluding Bernalillo County and Indian country), see paragraph (e)(1)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Albuquerque-Bernalillo County Air Quality Control Board, c/o Environmental Health Department, P.O. Box 1293, Albuquerque, New Mexico 87103.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[Reserved]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(HH) New York: New York State Department of Environmental Conservation, 50 Wolf Road Albany, New York 12233, attention: Division of Air Resources.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(JJ) State of North Dakota, Division of Air Quality, North Dakota Department of Health, P.O. Box 5520, Bismarck, ND 58506-5520.</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paragraph (c)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(KK) State of Ohio:</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Medina, Summit and Portage Counties; Director, Akron Regional Air Quality Management District, 146 South High Street, Room 904, Akron, OH 44308.</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Stark County; Director, Canton City Health Department, Air Pollution Control Division, 420 Market Avenue North, Canton, Ohio 44702-1544.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Butler, Clermont, Hamilton, and Warren Counties; Director, Hamilton County Department of Environmental Services, 250 William Howard Taft Road, Cincinnati, Ohio 45219-2660.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(iv) Cuyahoga County; Commissioner, Cleveland Department of Public Health, Division of Air Quality, 75 Erieview Plaza 2nd Floor, Cleveland, Ohio 44114.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 Clark, Darke, Greene, Miami, Montgomery, and Preble Counties; Director, Regional Air Pollution Control Agency, 117 South Main Street, Dayton, Ohio 45422-1280.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 Lucas County and the City of Rossford (in Wood County); Director, City of Toledo, Division of Environmental Services, 348 South Erie Street, Toledo, OH 43604.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 Adams, Brown, Lawrence, and Scioto Counties; Portsmouth Local Air Agency, 605 Washington Street, Third Floor, Portsmouth, OH 45662.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(ix) Ashtabula, Caroll, Colombiana, Holmes, Lorain, and Wayne Counties; Ohio Environmental Protection Agency, Northeast District Office, Air Pollution Unit, 2110 East Aurora Road, Twinsburg, OH 44087.</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(xi) Champaign, Clinton, Highland, Logan, and Shelby Counties; Ohio Environmental Protection Agency, Southwest District Office, Air Pollution Unit, 401 East Fifth Street, Dayton, Ohio 45402-2911.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(xii) Delaware, Fairfield, Fayette, Franklin, Knox, Licking, Madison, Morrow, Pickaway, and Union Counties; Ohio Environmental Protection Agency, Central District Office, Air Pollution control, 50 West Town Street, Suite 700, Columbus, Ohio 43215.</w:t>
      </w:r>
    </w:p>
    <w:p w:rsidR="006C6BBA" w:rsidRDefault="00B22F92" w:rsidP="00B22F92">
      <w:pPr>
        <w:pStyle w:val="NormalWeb"/>
        <w:rPr>
          <w:rFonts w:ascii="Arial" w:hAnsi="Arial" w:cs="Arial"/>
          <w:sz w:val="20"/>
          <w:szCs w:val="20"/>
        </w:rPr>
      </w:pPr>
      <w:r w:rsidRPr="00B22F92">
        <w:rPr>
          <w:rFonts w:ascii="Arial" w:hAnsi="Arial" w:cs="Arial"/>
          <w:sz w:val="20"/>
          <w:szCs w:val="20"/>
        </w:rPr>
        <w:t>(xiii) Geauga and Lake Counties; Lake County General Health District, Air Pollution Control, 33 Mill Street, Painesville, OH 44077.</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NormalWeb"/>
        <w:rPr>
          <w:rFonts w:ascii="Arial" w:hAnsi="Arial" w:cs="Arial"/>
          <w:sz w:val="20"/>
          <w:szCs w:val="20"/>
        </w:rPr>
      </w:pP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(xiv) Mahoning and Trumbull Counties; Mahoning-Trumbull Air Pollution Control Agency, 345 Oak Hill Avenue, Suite 200, Youngstown, OH 44502.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(LL) State of Oklahoma, Oklahoma State Department of Health, Air Quality Service, P.O. Box 53551, Oklahoma City, OK 73152.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Oklahoma City and County: Director, Oklahoma City-County Health Department, 921 Northeast 23rd Street, Oklahoma City, OK 73105.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Tulsa County: Tulsa City-County Health Department, 4616 East Fifteenth Street, Tulsa, OK 74112.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(MM) State of Oregon. (i) Oregon Department of Environmental Quality (ODEQ), 811 SW Sixth Avenue, Portland, OR 97204-1390, </w:t>
      </w:r>
      <w:r w:rsidRPr="00B22F92">
        <w:rPr>
          <w:rFonts w:ascii="Arial" w:hAnsi="Arial" w:cs="Arial"/>
          <w:i/>
          <w:iCs/>
          <w:sz w:val="20"/>
          <w:szCs w:val="20"/>
        </w:rPr>
        <w:t>http://www.deq.state.or.us.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Lane Regional Air Pollution Authority (LRAPA), 1010 Main Street, Springfield, Oregon 97477, </w:t>
      </w:r>
      <w:r w:rsidRPr="00B22F92">
        <w:rPr>
          <w:rFonts w:ascii="Arial" w:hAnsi="Arial" w:cs="Arial"/>
          <w:i/>
          <w:iCs/>
          <w:sz w:val="20"/>
          <w:szCs w:val="20"/>
        </w:rPr>
        <w:t>http://www.lrapa.org.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(NN)(i) City of Philadelphia, Department of Public Health, Air Management Services, 321 University Avenue, Philadelphia, Pennsylvania 19104.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Commonwealth of Pennsylvania, Department of Environmental Protection, Bureau of Air Quality Control, P.O. Box 8468, 400 Market Street, Harrisburg, Pennsylvania 17105.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Allegheny County Health Department, Bureau of Environmental Quality, Division of Air Quality, 301 39th Street, Pittsburgh, Pennsylvania 15201.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(OO) State of Rhode Island, Division of Air and Hazardous Materials, Department of Environmental Management, 291 Promenade Street, Providence, RI 02908.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(PP) State of South Carolina: South Carolina Department of Health and Environmental Control, 2600 Bull Street, Columbia, South Carolina 29201.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(QQ) State of South Dakota, Air Quality Program, Department of Environment and Natural Resources, Joe Foss Building, 523 East Capitol, Pierre, SD 57501-3181.</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paragragh (c)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(RR) State of Tennessee: Tennessee Department of Environment and Conservation, Division of Air Pollution Control, 401 Church Street, 9th Floor, L&amp;C Annex, Nashville, Tennessee 37243-1531.</w:t>
      </w:r>
    </w:p>
    <w:p w:rsidR="006C6BBA" w:rsidRDefault="00B22F92" w:rsidP="00B22F92">
      <w:pPr>
        <w:pStyle w:val="fp-1"/>
        <w:rPr>
          <w:rFonts w:ascii="Arial" w:hAnsi="Arial" w:cs="Arial"/>
          <w:sz w:val="20"/>
          <w:szCs w:val="20"/>
        </w:rPr>
      </w:pPr>
      <w:r w:rsidRPr="00B22F92">
        <w:rPr>
          <w:rFonts w:ascii="Arial" w:hAnsi="Arial" w:cs="Arial"/>
          <w:sz w:val="20"/>
          <w:szCs w:val="20"/>
        </w:rPr>
        <w:t>Knox County Air Quality Management—Department of Public Health, 140 Dameron Avenue, Knoxville, TN 37917.</w:t>
      </w:r>
    </w:p>
    <w:p w:rsidR="006C6BBA" w:rsidRDefault="006C6BBA">
      <w:pPr>
        <w:rPr>
          <w:rFonts w:ascii="Arial" w:eastAsia="Times New Roman" w:hAnsi="Arial" w:cs="Arial"/>
          <w:sz w:val="20"/>
          <w:szCs w:val="20"/>
        </w:rPr>
      </w:pPr>
      <w:r>
        <w:rPr>
          <w:rFonts w:ascii="Arial" w:hAnsi="Arial" w:cs="Arial"/>
          <w:sz w:val="20"/>
          <w:szCs w:val="20"/>
        </w:rPr>
        <w:br w:type="page"/>
      </w:r>
    </w:p>
    <w:p w:rsidR="00B22F92" w:rsidRPr="00B22F92" w:rsidRDefault="00B22F92" w:rsidP="00B22F92">
      <w:pPr>
        <w:pStyle w:val="fp-1"/>
        <w:rPr>
          <w:rFonts w:ascii="Arial" w:hAnsi="Arial" w:cs="Arial"/>
          <w:sz w:val="20"/>
          <w:szCs w:val="20"/>
        </w:rPr>
      </w:pPr>
    </w:p>
    <w:p w:rsidR="00B22F92" w:rsidRPr="00B22F92" w:rsidRDefault="00B22F92" w:rsidP="00B22F92">
      <w:pPr>
        <w:pStyle w:val="fp-1"/>
        <w:rPr>
          <w:rFonts w:ascii="Arial" w:hAnsi="Arial" w:cs="Arial"/>
          <w:sz w:val="20"/>
          <w:szCs w:val="20"/>
        </w:rPr>
      </w:pPr>
      <w:r w:rsidRPr="00B22F92">
        <w:rPr>
          <w:rFonts w:ascii="Arial" w:hAnsi="Arial" w:cs="Arial"/>
          <w:sz w:val="20"/>
          <w:szCs w:val="20"/>
        </w:rPr>
        <w:t>Air Pollution Control Bureau, Metropolitan Health Department, 311 23rd Avenue North, Nashville, TN 37203.</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Chattanooga-Hamilton County Air Pollution Control Bureau, 6125 Preservation Drive, Chattanooga, TN 37416.</w:t>
      </w:r>
    </w:p>
    <w:p w:rsidR="00B22F92" w:rsidRPr="00B22F92" w:rsidRDefault="00B22F92" w:rsidP="00B22F92">
      <w:pPr>
        <w:pStyle w:val="fp-1"/>
        <w:rPr>
          <w:rFonts w:ascii="Arial" w:hAnsi="Arial" w:cs="Arial"/>
          <w:sz w:val="20"/>
          <w:szCs w:val="20"/>
        </w:rPr>
      </w:pPr>
      <w:r w:rsidRPr="00B22F92">
        <w:rPr>
          <w:rFonts w:ascii="Arial" w:hAnsi="Arial" w:cs="Arial"/>
          <w:sz w:val="20"/>
          <w:szCs w:val="20"/>
        </w:rPr>
        <w:t>Memphis-Shelby County Health Department—Air Pollution Control Program, 814 Jefferson Avenue, Memphis, TN 38105.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(SS) State of Texas, Texas Air Control Board, 6330 Highway 290 East, Austin, TX 78723.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(TT) State of Utah, Division of Air Quality, Department of Environmental Quality, P.O. Box 144820, Salt Lake City, UT 84114-4820.</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paragraph (c)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(UU) State of Vermont, Air Pollution Control Division, Agency of Natural Resources, Building 3 South, 103 South Main Street, Waterbury, VT 05676.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(VV) Commonwealth of Virginia, Department of Environmental Quality, 629 East Main Street, Richmond, Virginia 23219.</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(WW) </w:t>
      </w:r>
      <w:r w:rsidRPr="00B22F92">
        <w:rPr>
          <w:rFonts w:ascii="Arial" w:hAnsi="Arial" w:cs="Arial"/>
          <w:i/>
          <w:iCs/>
          <w:sz w:val="20"/>
          <w:szCs w:val="20"/>
        </w:rPr>
        <w:t>State of Washington.</w:t>
      </w:r>
      <w:r w:rsidRPr="00B22F92">
        <w:rPr>
          <w:rFonts w:ascii="Arial" w:hAnsi="Arial" w:cs="Arial"/>
          <w:sz w:val="20"/>
          <w:szCs w:val="20"/>
        </w:rPr>
        <w:t xml:space="preserve"> (i) Washington State Department of Ecology (Ecology), P.O. Box 47600, Olympia, WA 98504-7600, </w:t>
      </w:r>
      <w:r w:rsidRPr="00B22F92">
        <w:rPr>
          <w:rFonts w:ascii="Arial" w:hAnsi="Arial" w:cs="Arial"/>
          <w:i/>
          <w:iCs/>
          <w:sz w:val="20"/>
          <w:szCs w:val="20"/>
        </w:rPr>
        <w:t>http://www.ecy.wa.gov/</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Benton Clean Air Authority (BCAA), 650 George Washington Way, Richland, WA 99352-4289, </w:t>
      </w:r>
      <w:r w:rsidRPr="00B22F92">
        <w:rPr>
          <w:rFonts w:ascii="Arial" w:hAnsi="Arial" w:cs="Arial"/>
          <w:i/>
          <w:iCs/>
          <w:sz w:val="20"/>
          <w:szCs w:val="20"/>
        </w:rPr>
        <w:t>http://www.bcaa.net/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(iii) Northwest Air Pollution Control Authority (NWAPA), 1600 South Second St., Mount Vernon, WA 98273-5202, </w:t>
      </w:r>
      <w:r w:rsidRPr="00B22F92">
        <w:rPr>
          <w:rFonts w:ascii="Arial" w:hAnsi="Arial" w:cs="Arial"/>
          <w:i/>
          <w:iCs/>
          <w:sz w:val="20"/>
          <w:szCs w:val="20"/>
        </w:rPr>
        <w:t>http://www.nwair.org/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(iv) Olympic Regional Clean Air Agency (ORCAA), 909 Sleater-Kinney Road S.E., Suite 1, Lacey, WA 98503-1128, </w:t>
      </w:r>
      <w:r w:rsidRPr="00B22F92">
        <w:rPr>
          <w:rFonts w:ascii="Arial" w:hAnsi="Arial" w:cs="Arial"/>
          <w:i/>
          <w:iCs/>
          <w:sz w:val="20"/>
          <w:szCs w:val="20"/>
        </w:rPr>
        <w:t>http://www.orcaa.org/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 Puget Sound Clean Air Agency (PSCAA), 110 Union Street, Suite 500, Seattle, WA 98101-2038, </w:t>
      </w:r>
      <w:r w:rsidRPr="00B22F92">
        <w:rPr>
          <w:rFonts w:ascii="Arial" w:hAnsi="Arial" w:cs="Arial"/>
          <w:i/>
          <w:iCs/>
          <w:sz w:val="20"/>
          <w:szCs w:val="20"/>
        </w:rPr>
        <w:t>http://www.pscleanair.org/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(vi) Spokane County Air Pollution Control Authority (SCAPCA), West 1101 College, Suite 403, Spokane, WA 99201, </w:t>
      </w:r>
      <w:r w:rsidRPr="00B22F92">
        <w:rPr>
          <w:rFonts w:ascii="Arial" w:hAnsi="Arial" w:cs="Arial"/>
          <w:i/>
          <w:iCs/>
          <w:sz w:val="20"/>
          <w:szCs w:val="20"/>
        </w:rPr>
        <w:t>http://www.scapca.org/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(vii) Southwest Clean Air Agency (SWCAA), 1308 NE. 134th St., Vancouver, WA 98685-2747, </w:t>
      </w:r>
      <w:r w:rsidRPr="00B22F92">
        <w:rPr>
          <w:rFonts w:ascii="Arial" w:hAnsi="Arial" w:cs="Arial"/>
          <w:i/>
          <w:iCs/>
          <w:sz w:val="20"/>
          <w:szCs w:val="20"/>
        </w:rPr>
        <w:t>http://www.swcleanair.org/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(viii) Yakima Regional Clean Air Authority (YRCAA), 6 South 2nd Street, Suite 1016, Yakima, WA 98901, </w:t>
      </w:r>
      <w:r w:rsidRPr="00B22F92">
        <w:rPr>
          <w:rFonts w:ascii="Arial" w:hAnsi="Arial" w:cs="Arial"/>
          <w:i/>
          <w:iCs/>
          <w:sz w:val="20"/>
          <w:szCs w:val="20"/>
        </w:rPr>
        <w:t>http://co.yakima.wa.us/cleanair/default.htm</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95"/>
        <w:gridCol w:w="870"/>
        <w:gridCol w:w="673"/>
        <w:gridCol w:w="847"/>
        <w:gridCol w:w="826"/>
        <w:gridCol w:w="793"/>
        <w:gridCol w:w="935"/>
        <w:gridCol w:w="847"/>
        <w:gridCol w:w="804"/>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r w:rsidRPr="00B22F92">
              <w:rPr>
                <w:rFonts w:ascii="Arial" w:hAnsi="Arial" w:cs="Arial"/>
                <w:b/>
                <w:bCs/>
                <w:sz w:val="20"/>
                <w:szCs w:val="20"/>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Washington </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Ecology</w:t>
            </w:r>
            <w:r w:rsidRPr="00B22F92">
              <w:rPr>
                <w:rFonts w:ascii="Arial" w:hAnsi="Arial" w:cs="Arial"/>
                <w:b/>
                <w:bCs/>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BCAA</w:t>
            </w:r>
            <w:r w:rsidRPr="00B22F92">
              <w:rPr>
                <w:rFonts w:ascii="Arial" w:hAnsi="Arial" w:cs="Arial"/>
                <w:b/>
                <w:bCs/>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NWAPA</w:t>
            </w:r>
            <w:r w:rsidRPr="00B22F92">
              <w:rPr>
                <w:rFonts w:ascii="Arial" w:hAnsi="Arial" w:cs="Arial"/>
                <w:b/>
                <w:bCs/>
                <w:sz w:val="20"/>
                <w:szCs w:val="20"/>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ORCAA</w:t>
            </w:r>
            <w:r w:rsidRPr="00B22F92">
              <w:rPr>
                <w:rFonts w:ascii="Arial" w:hAnsi="Arial" w:cs="Arial"/>
                <w:b/>
                <w:bCs/>
                <w:sz w:val="20"/>
                <w:szCs w:val="20"/>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PSCAA</w:t>
            </w:r>
            <w:r w:rsidRPr="00B22F92">
              <w:rPr>
                <w:rFonts w:ascii="Arial" w:hAnsi="Arial" w:cs="Arial"/>
                <w:b/>
                <w:bCs/>
                <w:sz w:val="20"/>
                <w:szCs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SCAPCA</w:t>
            </w:r>
            <w:r w:rsidRPr="00B22F92">
              <w:rPr>
                <w:rFonts w:ascii="Arial" w:hAnsi="Arial" w:cs="Arial"/>
                <w:b/>
                <w:bCs/>
                <w:sz w:val="20"/>
                <w:szCs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SWCAA</w:t>
            </w:r>
            <w:r w:rsidRPr="00B22F92">
              <w:rPr>
                <w:rFonts w:ascii="Arial" w:hAnsi="Arial" w:cs="Arial"/>
                <w:b/>
                <w:bCs/>
                <w:sz w:val="20"/>
                <w:szCs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YRCAA</w:t>
            </w:r>
            <w:r w:rsidRPr="00B22F92">
              <w:rPr>
                <w:rFonts w:ascii="Arial" w:hAnsi="Arial" w:cs="Arial"/>
                <w:b/>
                <w:bCs/>
                <w:sz w:val="20"/>
                <w:szCs w:val="20"/>
                <w:vertAlign w:val="superscript"/>
              </w:rPr>
              <w:t>9</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Cb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Ce   Hospital/Medical/Infectious Waste Incinerators (Emission Guidelines and Compliance </w:t>
            </w:r>
            <w:r w:rsidRPr="00B22F92">
              <w:rPr>
                <w:rFonts w:ascii="Arial" w:hAnsi="Arial" w:cs="Arial"/>
                <w:sz w:val="20"/>
                <w:szCs w:val="20"/>
              </w:rPr>
              <w:lastRenderedPageBreak/>
              <w:t>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   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Na   Secondary Emissions from Basic Oxygen Process Steel-making Facilities for </w:t>
            </w:r>
            <w:r w:rsidRPr="00B22F92">
              <w:rPr>
                <w:rFonts w:ascii="Arial" w:hAnsi="Arial" w:cs="Arial"/>
                <w:sz w:val="20"/>
                <w:szCs w:val="20"/>
              </w:rPr>
              <w:lastRenderedPageBreak/>
              <w:t>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   Primary Aluminum Reduction Plants</w:t>
            </w:r>
            <w:r w:rsidRPr="00B22F92">
              <w:rPr>
                <w:rFonts w:ascii="Arial" w:hAnsi="Arial" w:cs="Arial"/>
                <w:sz w:val="20"/>
                <w:szCs w:val="20"/>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   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   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   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   Kraft Pulp Mills</w:t>
            </w:r>
            <w:r w:rsidRPr="00B22F92">
              <w:rPr>
                <w:rFonts w:ascii="Arial" w:hAnsi="Arial" w:cs="Arial"/>
                <w:sz w:val="20"/>
                <w:szCs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   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   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GGG   Equipment Leaks of </w:t>
            </w:r>
            <w:r w:rsidRPr="00B22F92">
              <w:rPr>
                <w:rFonts w:ascii="Arial" w:hAnsi="Arial" w:cs="Arial"/>
                <w:sz w:val="20"/>
                <w:szCs w:val="20"/>
              </w:rPr>
              <w:lastRenderedPageBreak/>
              <w:t>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   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   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   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   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DDDD   Commercial and </w:t>
            </w:r>
            <w:r w:rsidRPr="00B22F92">
              <w:rPr>
                <w:rFonts w:ascii="Arial" w:hAnsi="Arial" w:cs="Arial"/>
                <w:sz w:val="20"/>
                <w:szCs w:val="20"/>
              </w:rPr>
              <w:lastRenderedPageBreak/>
              <w:t>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lastRenderedPageBreak/>
        <w:t>1</w:t>
      </w:r>
      <w:r w:rsidRPr="00B22F92">
        <w:rPr>
          <w:rFonts w:ascii="Arial" w:hAnsi="Arial" w:cs="Arial"/>
          <w:sz w:val="20"/>
          <w:szCs w:val="20"/>
        </w:rPr>
        <w:t xml:space="preserve">Any authority within any subpart of this part that is not delegable, is not delegated. Please refer to Attachment B to the delegation letters for a listing of the NSPS authorities excluded from delegation.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2</w:t>
      </w:r>
      <w:r w:rsidRPr="00B22F92">
        <w:rPr>
          <w:rFonts w:ascii="Arial" w:hAnsi="Arial" w:cs="Arial"/>
          <w:sz w:val="20"/>
          <w:szCs w:val="20"/>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3</w:t>
      </w:r>
      <w:r w:rsidRPr="00B22F92">
        <w:rPr>
          <w:rFonts w:ascii="Arial" w:hAnsi="Arial" w:cs="Arial"/>
          <w:sz w:val="20"/>
          <w:szCs w:val="20"/>
        </w:rPr>
        <w:t xml:space="preserve">Benton Clean Air Authority, for 40 CFR 60.17(h)(1), (h)(2), (h)(3) and 40 CFR part 60, subpart AAAA, as in effect on June 6, 2001; for 40 CFR part 60, subpart CCCC, as in effect on June 1, 2001; and for all other NSPS delegated, as in effect February 20, 2001.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4</w:t>
      </w:r>
      <w:r w:rsidRPr="00B22F92">
        <w:rPr>
          <w:rFonts w:ascii="Arial" w:hAnsi="Arial" w:cs="Arial"/>
          <w:sz w:val="20"/>
          <w:szCs w:val="20"/>
        </w:rPr>
        <w:t xml:space="preserve">Northwest Air Pollution Authority, for all NSPS delegated, as in effect on July 1, 2000.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5</w:t>
      </w:r>
      <w:r w:rsidRPr="00B22F92">
        <w:rPr>
          <w:rFonts w:ascii="Arial" w:hAnsi="Arial" w:cs="Arial"/>
          <w:sz w:val="20"/>
          <w:szCs w:val="20"/>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6</w:t>
      </w:r>
      <w:r w:rsidRPr="00B22F92">
        <w:rPr>
          <w:rFonts w:ascii="Arial" w:hAnsi="Arial" w:cs="Arial"/>
          <w:sz w:val="20"/>
          <w:szCs w:val="20"/>
        </w:rPr>
        <w:t xml:space="preserve">Puget Sound Clean Air Authority, for all NSPS delegated, as in effect on July 1, 2002.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7</w:t>
      </w:r>
      <w:r w:rsidRPr="00B22F92">
        <w:rPr>
          <w:rFonts w:ascii="Arial" w:hAnsi="Arial" w:cs="Arial"/>
          <w:sz w:val="20"/>
          <w:szCs w:val="20"/>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8</w:t>
      </w:r>
      <w:r w:rsidRPr="00B22F92">
        <w:rPr>
          <w:rFonts w:ascii="Arial" w:hAnsi="Arial" w:cs="Arial"/>
          <w:sz w:val="20"/>
          <w:szCs w:val="20"/>
        </w:rPr>
        <w:t xml:space="preserve">Southwest Clean Air Agency, for all NSPS delegated, as in effect on July 1, 2000.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9</w:t>
      </w:r>
      <w:r w:rsidRPr="00B22F92">
        <w:rPr>
          <w:rFonts w:ascii="Arial" w:hAnsi="Arial" w:cs="Arial"/>
          <w:sz w:val="20"/>
          <w:szCs w:val="20"/>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10</w:t>
      </w:r>
      <w:r w:rsidRPr="00B22F92">
        <w:rPr>
          <w:rFonts w:ascii="Arial" w:hAnsi="Arial" w:cs="Arial"/>
          <w:sz w:val="20"/>
          <w:szCs w:val="20"/>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11</w:t>
      </w:r>
      <w:r w:rsidRPr="00B22F92">
        <w:rPr>
          <w:rFonts w:ascii="Arial" w:hAnsi="Arial" w:cs="Arial"/>
          <w:sz w:val="20"/>
          <w:szCs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(XX) State of West Virginia, Department of Environmental Protection, Division of Air Quality, 601 57th Street, SE., Charleston, West Virginia 25304.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(YY) State of Wisconsin: Wisconsin Department of Natural Resouces, 101 South Webster St., P.O. Box 7921, Madison, Wisconsin 53707-7921.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(ZZ) State of Wyoming, Department of Environmental Quality, Air Quality Division, Herschler Building, 122 West 25th Street, Cheyenne, WY 82002.</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a table listing Region VIII's NSPS delegation status, see paragraph (c)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(AAA) Territory of Guam: Guam Environmental Protection Agency, P.O. Box 22439 GMF, Barrigada, Guam 96921.</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(BBB) Commonwealth of Puerto Rico: Commonwealth of Puerto Rico Environmental Quality Board, P.O. Box 11488, Santurce, PR 00910, Attention: Air Quality Area Director (see table under §60.4(b)(FF)(1)).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(CCC) U.S. Virgin Islands: U.S. Virgin Islands Department of Conservation and Cultural Affairs, P.O. Box 578, Charlotte Amalie, St. Thomas, VI 00801.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(DDD) American Samoa: American Samoa Environmental Protection Agency, P.O. Box PPA, Pago Pago, American Samoa 96799.</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(EEE) Commonwealth of the Northern Mariana Islands: CNMI Division of Environmental Quality, P.O. Box 501304, Saipan, MP 96950.</w:t>
      </w:r>
    </w:p>
    <w:p w:rsidR="00B22F92" w:rsidRPr="00B22F92" w:rsidRDefault="00B22F92" w:rsidP="00B22F92">
      <w:pPr>
        <w:pStyle w:val="note"/>
        <w:rPr>
          <w:rFonts w:ascii="Arial" w:hAnsi="Arial" w:cs="Arial"/>
          <w:sz w:val="20"/>
          <w:szCs w:val="20"/>
        </w:rPr>
      </w:pPr>
      <w:r w:rsidRPr="00B22F92">
        <w:rPr>
          <w:rFonts w:ascii="Arial" w:hAnsi="Arial" w:cs="Arial"/>
          <w:smallCaps/>
          <w:sz w:val="20"/>
          <w:szCs w:val="20"/>
        </w:rPr>
        <w:t>Note:</w:t>
      </w:r>
      <w:r w:rsidRPr="00B22F92">
        <w:rPr>
          <w:rFonts w:ascii="Arial" w:hAnsi="Arial" w:cs="Arial"/>
          <w:sz w:val="20"/>
          <w:szCs w:val="20"/>
        </w:rPr>
        <w:t xml:space="preserve"> For tables listing the delegation status of agencies in Region IX, see paragraph (d)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The following is a table indicating the delegation status of New Source Performance Standards for Region VIII.</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Delegation Status of New Source Performance Standards </w:t>
      </w:r>
    </w:p>
    <w:p w:rsidR="00B22F92" w:rsidRPr="00B22F92" w:rsidRDefault="00B22F92" w:rsidP="00B22F92">
      <w:pPr>
        <w:pStyle w:val="gpotbldescription"/>
        <w:jc w:val="left"/>
        <w:rPr>
          <w:rFonts w:ascii="Arial" w:hAnsi="Arial" w:cs="Arial"/>
          <w:sz w:val="20"/>
          <w:szCs w:val="20"/>
        </w:rPr>
      </w:pPr>
      <w:r w:rsidRPr="00B22F92">
        <w:rPr>
          <w:rFonts w:ascii="Arial" w:hAnsi="Arial" w:cs="Arial"/>
          <w:sz w:val="20"/>
          <w:szCs w:val="20"/>
        </w:rPr>
        <w:t xml:space="preserve">[(NSPS) for Region VIII]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464"/>
        <w:gridCol w:w="330"/>
        <w:gridCol w:w="319"/>
        <w:gridCol w:w="319"/>
        <w:gridCol w:w="308"/>
        <w:gridCol w:w="297"/>
        <w:gridCol w:w="353"/>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MT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UT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WY</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D—Fossil Fuel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Da—Electric Utility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Db—Industrial-Commercial—Institutional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Dc—Industrial-Commercial-Institutional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K—Petroleum Storage Vessels (after 6/11/73 &amp; prior to</w:t>
            </w:r>
            <w:r w:rsidRPr="00B22F92">
              <w:rPr>
                <w:rFonts w:ascii="Arial" w:hAnsi="Arial" w:cs="Arial"/>
                <w:sz w:val="20"/>
                <w:szCs w:val="20"/>
              </w:rPr>
              <w:br/>
              <w:t>   5/19/78)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Ka—Petroleum Storage Vessels (after 5/18/78 &amp; prior to</w:t>
            </w:r>
            <w:r w:rsidRPr="00B22F92">
              <w:rPr>
                <w:rFonts w:ascii="Arial" w:hAnsi="Arial" w:cs="Arial"/>
                <w:sz w:val="20"/>
                <w:szCs w:val="20"/>
              </w:rPr>
              <w:br/>
              <w:t>   7/23/84)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Kb—Petroleum Storage 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M—Secondary Brass and Bronze Production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N—Primary Emissions from Basic Oxygen Process Furnaces (after 6/11/73)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Na—Secondary Emissions from Basic Oxygen Process Furnaces (after 1/20/83)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AA—Steel Plants: Electric Arc Furnaces (10/21/74-8/17/83)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AAa—Steel Plants: Electric Arc Furnaces and Argon-Oxygen Decarburization Vessels (after 8/7/83)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DD—Grain Elevator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PP—Ammonium Sulfate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RR—Pressure Sensitive Tape &amp; Label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SS—Industrial Surface Coating: Large Applications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UU—Asphalt Processing &amp;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VV—Synthetic Organic Chemicals Manufacturing: Equipment Leaks of VOC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BBB—Rubber Tires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DDD—VOC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FFF—Flexible Vinyl &amp; Urethane Coating &amp;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III—VOC Emissions from the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NNN—VOC Emissions from the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RRR—VOC Emissions from Synthetic Organic Chemistry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SSS—Magnetic Tape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TTT—Plastic Parts for Business Machine Coatings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VVV—Polymeric Coating of Supporting Substrates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AAAA-Small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CCCC-Commercial and Industrial Solid Waste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p>
        </w:tc>
      </w:tr>
    </w:tbl>
    <w:p w:rsidR="00B22F92" w:rsidRPr="00B22F92" w:rsidRDefault="00B22F92" w:rsidP="00B22F92">
      <w:pPr>
        <w:pStyle w:val="gpotblnote"/>
        <w:rPr>
          <w:rFonts w:ascii="Arial" w:hAnsi="Arial" w:cs="Arial"/>
          <w:sz w:val="20"/>
          <w:szCs w:val="20"/>
        </w:rPr>
      </w:pPr>
      <w:r w:rsidRPr="00B22F92">
        <w:rPr>
          <w:rFonts w:ascii="Arial" w:hAnsi="Arial" w:cs="Arial"/>
          <w:sz w:val="20"/>
          <w:szCs w:val="20"/>
        </w:rPr>
        <w:t>(*) Indicates approval of State regulation.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w:t>
      </w:r>
      <w:r w:rsidRPr="00B22F92">
        <w:rPr>
          <w:rFonts w:ascii="Arial" w:hAnsi="Arial" w:cs="Arial"/>
          <w:i/>
          <w:iCs/>
          <w:sz w:val="20"/>
          <w:szCs w:val="20"/>
        </w:rPr>
        <w:t>Arizona.</w:t>
      </w:r>
      <w:r w:rsidRPr="00B22F92">
        <w:rPr>
          <w:rFonts w:ascii="Arial" w:hAnsi="Arial" w:cs="Arial"/>
          <w:sz w:val="20"/>
          <w:szCs w:val="20"/>
        </w:rPr>
        <w:t xml:space="preserve"> The following table identifies delegations for Arizona:</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626"/>
        <w:gridCol w:w="764"/>
        <w:gridCol w:w="909"/>
        <w:gridCol w:w="719"/>
        <w:gridCol w:w="719"/>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Arizona</w:t>
            </w:r>
            <w:r w:rsidRPr="00B22F92">
              <w:rPr>
                <w:rFonts w:ascii="Arial" w:hAnsi="Arial" w:cs="Arial"/>
                <w:b/>
                <w:bCs/>
                <w:sz w:val="20"/>
                <w:szCs w:val="20"/>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Maricopa</w:t>
            </w:r>
            <w:r w:rsidRPr="00B22F92">
              <w:rPr>
                <w:rFonts w:ascii="Arial" w:hAnsi="Arial" w:cs="Arial"/>
                <w:b/>
                <w:bCs/>
                <w:sz w:val="20"/>
                <w:szCs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Pima</w:t>
            </w:r>
            <w:r w:rsidRPr="00B22F92">
              <w:rPr>
                <w:rFonts w:ascii="Arial" w:hAnsi="Arial" w:cs="Arial"/>
                <w:b/>
                <w:bCs/>
                <w:sz w:val="20"/>
                <w:szCs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Pinal</w:t>
            </w:r>
            <w:r w:rsidRPr="00B22F92">
              <w:rPr>
                <w:rFonts w:ascii="Arial" w:hAnsi="Arial" w:cs="Arial"/>
                <w:b/>
                <w:bCs/>
                <w:sz w:val="20"/>
                <w:szCs w:val="20"/>
              </w:rPr>
              <w:br/>
              <w:t>County</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Municipal Waste Combustors Constructed After December 20, </w:t>
            </w:r>
            <w:r w:rsidRPr="00B22F92">
              <w:rPr>
                <w:rFonts w:ascii="Arial" w:hAnsi="Arial" w:cs="Arial"/>
                <w:sz w:val="20"/>
                <w:szCs w:val="20"/>
              </w:rPr>
              <w:lastRenderedPageBreak/>
              <w:t>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Steel Plants: Electric Arc Furnaces and Argon-Oxygen </w:t>
            </w:r>
            <w:r w:rsidRPr="00B22F92">
              <w:rPr>
                <w:rFonts w:ascii="Arial" w:hAnsi="Arial" w:cs="Arial"/>
                <w:sz w:val="20"/>
                <w:szCs w:val="20"/>
              </w:rPr>
              <w:lastRenderedPageBreak/>
              <w:t>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Equipment Leaks of VOC in the Synthetic Organic Industry </w:t>
            </w:r>
            <w:r w:rsidRPr="00B22F92">
              <w:rPr>
                <w:rFonts w:ascii="Arial" w:hAnsi="Arial" w:cs="Arial"/>
                <w:sz w:val="20"/>
                <w:szCs w:val="20"/>
              </w:rPr>
              <w:lastRenderedPageBreak/>
              <w:t>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VVa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Equipment Leaks of VOC From Onshore Natural Gas </w:t>
            </w:r>
            <w:r w:rsidRPr="00B22F92">
              <w:rPr>
                <w:rFonts w:ascii="Arial" w:hAnsi="Arial" w:cs="Arial"/>
                <w:sz w:val="20"/>
                <w:szCs w:val="20"/>
              </w:rPr>
              <w:lastRenderedPageBreak/>
              <w:t>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Commercial and Industrial Solid Waste Incineration Units for Which Construction Is Commenced After November 30, 1999 or for Which Modification or Reconstruction Is Commenced on </w:t>
            </w:r>
            <w:r w:rsidRPr="00B22F92">
              <w:rPr>
                <w:rFonts w:ascii="Arial" w:hAnsi="Arial" w:cs="Arial"/>
                <w:sz w:val="20"/>
                <w:szCs w:val="20"/>
              </w:rPr>
              <w:lastRenderedPageBreak/>
              <w:t>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w:t>
      </w:r>
      <w:r w:rsidRPr="00B22F92">
        <w:rPr>
          <w:rFonts w:ascii="Arial" w:hAnsi="Arial" w:cs="Arial"/>
          <w:i/>
          <w:iCs/>
          <w:sz w:val="20"/>
          <w:szCs w:val="20"/>
        </w:rPr>
        <w:t>California.</w:t>
      </w:r>
      <w:r w:rsidRPr="00B22F92">
        <w:rPr>
          <w:rFonts w:ascii="Arial" w:hAnsi="Arial" w:cs="Arial"/>
          <w:sz w:val="20"/>
          <w:szCs w:val="20"/>
        </w:rPr>
        <w:t xml:space="preserve"> The following tables identify delegations for each of the local air pollution control agencies of California.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Delegations for Amador County Air Pollution Control District, Antelope Valley Air Quality Management District, Bay Area Air Quality Management District, and Butte County Air Quality Management District are shown in the following table:</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167"/>
        <w:gridCol w:w="882"/>
        <w:gridCol w:w="953"/>
        <w:gridCol w:w="802"/>
        <w:gridCol w:w="933"/>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Amador</w:t>
            </w:r>
            <w:r w:rsidRPr="00B22F92">
              <w:rPr>
                <w:rFonts w:ascii="Arial" w:hAnsi="Arial" w:cs="Arial"/>
                <w:b/>
                <w:bCs/>
                <w:sz w:val="20"/>
                <w:szCs w:val="20"/>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Antelope</w:t>
            </w:r>
            <w:r w:rsidRPr="00B22F92">
              <w:rPr>
                <w:rFonts w:ascii="Arial" w:hAnsi="Arial" w:cs="Arial"/>
                <w:b/>
                <w:bCs/>
                <w:sz w:val="20"/>
                <w:szCs w:val="20"/>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Butte County AQMD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Petroleum Refineries for Which Construction, Reconstruction, or Modification Commenced After May </w:t>
            </w:r>
            <w:r w:rsidRPr="00B22F92">
              <w:rPr>
                <w:rFonts w:ascii="Arial" w:hAnsi="Arial" w:cs="Arial"/>
                <w:sz w:val="20"/>
                <w:szCs w:val="20"/>
              </w:rPr>
              <w:lastRenderedPageBreak/>
              <w:t>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Phosphate Fertilizer Industry: Wet Process Phosphoric </w:t>
            </w:r>
            <w:r w:rsidRPr="00B22F92">
              <w:rPr>
                <w:rFonts w:ascii="Arial" w:hAnsi="Arial" w:cs="Arial"/>
                <w:sz w:val="20"/>
                <w:szCs w:val="20"/>
              </w:rPr>
              <w:lastRenderedPageBreak/>
              <w:t>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[Reserved]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4907"/>
        <w:gridCol w:w="838"/>
        <w:gridCol w:w="1053"/>
        <w:gridCol w:w="1059"/>
        <w:gridCol w:w="936"/>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Air pollution control agency </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Glenn</w:t>
            </w:r>
            <w:r w:rsidRPr="00B22F92">
              <w:rPr>
                <w:rFonts w:ascii="Arial" w:hAnsi="Arial" w:cs="Arial"/>
                <w:b/>
                <w:bCs/>
                <w:sz w:val="20"/>
                <w:szCs w:val="20"/>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Kern County APCD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(iv) Delegations for Lake County Air Quality Management District, Lassen County Air Pollution Control District, Mariposa County Air Pollution Control District, and Mendocino County Air Pollution Control District are shown in the following table: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4499"/>
        <w:gridCol w:w="908"/>
        <w:gridCol w:w="939"/>
        <w:gridCol w:w="1135"/>
        <w:gridCol w:w="1312"/>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Air pollution control agency </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Mendocino County AQMD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Electric Utility Steam Generating Units </w:t>
            </w:r>
            <w:r w:rsidRPr="00B22F92">
              <w:rPr>
                <w:rFonts w:ascii="Arial" w:hAnsi="Arial" w:cs="Arial"/>
                <w:sz w:val="20"/>
                <w:szCs w:val="20"/>
              </w:rPr>
              <w:lastRenderedPageBreak/>
              <w:t>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Volatile Organic Compound (VOC) Emissions From the Synthetic Organic Chemical </w:t>
            </w:r>
            <w:r w:rsidRPr="00B22F92">
              <w:rPr>
                <w:rFonts w:ascii="Arial" w:hAnsi="Arial" w:cs="Arial"/>
                <w:sz w:val="20"/>
                <w:szCs w:val="20"/>
              </w:rPr>
              <w:lastRenderedPageBreak/>
              <w:t>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(v) Delegations for Modoc Air Pollution Control District, Mojave Desert Air Quality Management District, Monterey Bay Unified Air Pollution Control District and North Coast Unified Air Quality Management District are shown in the following table:</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751"/>
        <w:gridCol w:w="914"/>
        <w:gridCol w:w="907"/>
        <w:gridCol w:w="1182"/>
        <w:gridCol w:w="983"/>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North Coast Unified AQMD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Commercial and Industrial Solid Waste Incineration Units for Which Construction Is Commenced After </w:t>
            </w:r>
            <w:r w:rsidRPr="00B22F92">
              <w:rPr>
                <w:rFonts w:ascii="Arial" w:hAnsi="Arial" w:cs="Arial"/>
                <w:sz w:val="20"/>
                <w:szCs w:val="20"/>
              </w:rPr>
              <w:lastRenderedPageBreak/>
              <w:t>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4187"/>
        <w:gridCol w:w="1051"/>
        <w:gridCol w:w="1177"/>
        <w:gridCol w:w="893"/>
        <w:gridCol w:w="1485"/>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Air pollution control agency </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Northern Sonoma County </w:t>
            </w:r>
            <w:r w:rsidRPr="00B22F92">
              <w:rPr>
                <w:rFonts w:ascii="Arial" w:hAnsi="Arial" w:cs="Arial"/>
                <w:b/>
                <w:bCs/>
                <w:sz w:val="20"/>
                <w:szCs w:val="20"/>
              </w:rPr>
              <w:lastRenderedPageBreak/>
              <w:t xml:space="preserve">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lastRenderedPageBreak/>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Sacramento Metropolitan AQMD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Storage Vessels for Petroleum Liquids for Which Construction, Reconstruction, or </w:t>
            </w:r>
            <w:r w:rsidRPr="00B22F92">
              <w:rPr>
                <w:rFonts w:ascii="Arial" w:hAnsi="Arial" w:cs="Arial"/>
                <w:sz w:val="20"/>
                <w:szCs w:val="20"/>
              </w:rPr>
              <w:lastRenderedPageBreak/>
              <w:t>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4583"/>
        <w:gridCol w:w="945"/>
        <w:gridCol w:w="1126"/>
        <w:gridCol w:w="1027"/>
        <w:gridCol w:w="1055"/>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Santa Barbara County APCD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Small Industrial-Commercial-Institutional Steam </w:t>
            </w:r>
            <w:r w:rsidRPr="00B22F92">
              <w:rPr>
                <w:rFonts w:ascii="Arial" w:hAnsi="Arial" w:cs="Arial"/>
                <w:sz w:val="20"/>
                <w:szCs w:val="20"/>
              </w:rPr>
              <w:lastRenderedPageBreak/>
              <w:t>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Storage Vessels for Petroleum Liquids for Which Construction, Reconstruction, or Modification </w:t>
            </w:r>
            <w:r w:rsidRPr="00B22F92">
              <w:rPr>
                <w:rFonts w:ascii="Arial" w:hAnsi="Arial" w:cs="Arial"/>
                <w:sz w:val="20"/>
                <w:szCs w:val="20"/>
              </w:rPr>
              <w:lastRenderedPageBreak/>
              <w:t>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4999"/>
        <w:gridCol w:w="943"/>
        <w:gridCol w:w="1075"/>
        <w:gridCol w:w="843"/>
        <w:gridCol w:w="876"/>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Tehama</w:t>
            </w:r>
            <w:r w:rsidRPr="00B22F92">
              <w:rPr>
                <w:rFonts w:ascii="Arial" w:hAnsi="Arial" w:cs="Arial"/>
                <w:b/>
                <w:bCs/>
                <w:sz w:val="20"/>
                <w:szCs w:val="20"/>
              </w:rPr>
              <w:br/>
              <w:t>County APCD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(ix) Delegations for Tuolumne County Air Pollution Control District, Ventura County Air Pollution Control District, and Yolo-Solano Air Quality Management District are shown in the following table:</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517"/>
        <w:gridCol w:w="1253"/>
        <w:gridCol w:w="1042"/>
        <w:gridCol w:w="925"/>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Yolo-Solano AQMD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Storage Vessels for Petroleum Liquids for Which Construction, Reconstruction, or Modification Commenced </w:t>
            </w:r>
            <w:r w:rsidRPr="00B22F92">
              <w:rPr>
                <w:rFonts w:ascii="Arial" w:hAnsi="Arial" w:cs="Arial"/>
                <w:sz w:val="20"/>
                <w:szCs w:val="20"/>
              </w:rPr>
              <w:lastRenderedPageBreak/>
              <w:t>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Pressure Sensitive Tape and Label Surface Coating </w:t>
            </w:r>
            <w:r w:rsidRPr="00B22F92">
              <w:rPr>
                <w:rFonts w:ascii="Arial" w:hAnsi="Arial" w:cs="Arial"/>
                <w:sz w:val="20"/>
                <w:szCs w:val="20"/>
              </w:rPr>
              <w:lastRenderedPageBreak/>
              <w:t>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w:t>
      </w:r>
      <w:r w:rsidRPr="00B22F92">
        <w:rPr>
          <w:rFonts w:ascii="Arial" w:hAnsi="Arial" w:cs="Arial"/>
          <w:i/>
          <w:iCs/>
          <w:sz w:val="20"/>
          <w:szCs w:val="20"/>
        </w:rPr>
        <w:t>Hawaii.</w:t>
      </w:r>
      <w:r w:rsidRPr="00B22F92">
        <w:rPr>
          <w:rFonts w:ascii="Arial" w:hAnsi="Arial" w:cs="Arial"/>
          <w:sz w:val="20"/>
          <w:szCs w:val="20"/>
        </w:rPr>
        <w:t xml:space="preserve"> The following table identifies delegations for Hawaii:</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Delegation Status for New Source Performance Standards for Hawaii:</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8073"/>
        <w:gridCol w:w="664"/>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Hawaii</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w:t>
      </w:r>
      <w:r w:rsidRPr="00B22F92">
        <w:rPr>
          <w:rFonts w:ascii="Arial" w:hAnsi="Arial" w:cs="Arial"/>
          <w:i/>
          <w:iCs/>
          <w:sz w:val="20"/>
          <w:szCs w:val="20"/>
        </w:rPr>
        <w:t>Nevada.</w:t>
      </w:r>
      <w:r w:rsidRPr="00B22F92">
        <w:rPr>
          <w:rFonts w:ascii="Arial" w:hAnsi="Arial" w:cs="Arial"/>
          <w:sz w:val="20"/>
          <w:szCs w:val="20"/>
        </w:rPr>
        <w:t xml:space="preserve"> The following table identifies delegations for Nevada: </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6233"/>
        <w:gridCol w:w="854"/>
        <w:gridCol w:w="853"/>
        <w:gridCol w:w="797"/>
      </w:tblGrid>
      <w:tr w:rsidR="00B22F92" w:rsidRPr="00B22F92" w:rsidTr="00B22F9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Air pollution control agency</w:t>
            </w:r>
          </w:p>
        </w:tc>
      </w:tr>
      <w:tr w:rsidR="00B22F92" w:rsidRPr="00B22F92" w:rsidTr="00B22F9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2F92" w:rsidRPr="00B22F92" w:rsidRDefault="00B22F92" w:rsidP="00B22F92">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Nevada 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Clark 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Washoe</w:t>
            </w:r>
            <w:r w:rsidRPr="00B22F92">
              <w:rPr>
                <w:rFonts w:ascii="Arial" w:hAnsi="Arial" w:cs="Arial"/>
                <w:b/>
                <w:bCs/>
                <w:sz w:val="20"/>
                <w:szCs w:val="20"/>
              </w:rPr>
              <w:br/>
              <w:t>County</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w:t>
            </w:r>
            <w:r w:rsidRPr="00B22F92">
              <w:rPr>
                <w:rFonts w:ascii="Arial" w:hAnsi="Arial" w:cs="Arial"/>
                <w:sz w:val="20"/>
                <w:szCs w:val="20"/>
                <w:vertAlign w:val="subscript"/>
              </w:rPr>
              <w:t>2</w:t>
            </w:r>
            <w:r w:rsidRPr="00B22F92">
              <w:rPr>
                <w:rFonts w:ascii="Arial"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sz w:val="20"/>
                <w:szCs w:val="20"/>
              </w:rPr>
            </w:pP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w:t>
      </w:r>
      <w:r w:rsidRPr="00B22F92">
        <w:rPr>
          <w:rFonts w:ascii="Arial" w:hAnsi="Arial" w:cs="Arial"/>
          <w:i/>
          <w:iCs/>
          <w:sz w:val="20"/>
          <w:szCs w:val="20"/>
        </w:rPr>
        <w:t>Guam.</w:t>
      </w:r>
      <w:r w:rsidRPr="00B22F92">
        <w:rPr>
          <w:rFonts w:ascii="Arial" w:hAnsi="Arial" w:cs="Arial"/>
          <w:sz w:val="20"/>
          <w:szCs w:val="20"/>
        </w:rPr>
        <w:t xml:space="preserve"> The following table identifies delegations as of June 15, 2001:</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8507"/>
        <w:gridCol w:w="597"/>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Guam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X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r>
    </w:tbl>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 The following lists the specific part 60 standards that have been delegated unchanged to the air pollution control agencies in Region 6.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w:t>
      </w:r>
      <w:r w:rsidRPr="00B22F92">
        <w:rPr>
          <w:rFonts w:ascii="Arial" w:hAnsi="Arial" w:cs="Arial"/>
          <w:i/>
          <w:iCs/>
          <w:sz w:val="20"/>
          <w:szCs w:val="20"/>
        </w:rPr>
        <w:t>New Mexico.</w:t>
      </w:r>
      <w:r w:rsidRPr="00B22F92">
        <w:rPr>
          <w:rFonts w:ascii="Arial" w:hAnsi="Arial" w:cs="Arial"/>
          <w:sz w:val="20"/>
          <w:szCs w:val="20"/>
        </w:rPr>
        <w:t xml:space="preserve"> The New Mexico Environment Department has been delegated all part 60 standards promulgated by EPA, except subpart AAA—Standards of Performance for New Residential Wood Heaters, as amended in the </w:t>
      </w:r>
      <w:r w:rsidRPr="00B22F92">
        <w:rPr>
          <w:rFonts w:ascii="Arial" w:hAnsi="Arial" w:cs="Arial"/>
          <w:smallCaps/>
          <w:sz w:val="20"/>
          <w:szCs w:val="20"/>
        </w:rPr>
        <w:t>Federal Register</w:t>
      </w:r>
      <w:r w:rsidRPr="00B22F92">
        <w:rPr>
          <w:rFonts w:ascii="Arial" w:hAnsi="Arial" w:cs="Arial"/>
          <w:sz w:val="20"/>
          <w:szCs w:val="20"/>
        </w:rPr>
        <w:t xml:space="preserve"> through September 1, 2002.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Louisiana. The Louisiana Department of Environmental Quality has been delegated all part 60 standards promulgated by EPA, except subpart AAA—Standards for Performance for New Residential Wood Heaters, as amended in the </w:t>
      </w:r>
      <w:r w:rsidRPr="00B22F92">
        <w:rPr>
          <w:rFonts w:ascii="Arial" w:hAnsi="Arial" w:cs="Arial"/>
          <w:smallCaps/>
          <w:sz w:val="20"/>
          <w:szCs w:val="20"/>
        </w:rPr>
        <w:t>Federal Register</w:t>
      </w:r>
      <w:r w:rsidRPr="00B22F92">
        <w:rPr>
          <w:rFonts w:ascii="Arial" w:hAnsi="Arial" w:cs="Arial"/>
          <w:sz w:val="20"/>
          <w:szCs w:val="20"/>
        </w:rPr>
        <w:t xml:space="preserve"> through July 1, 2008.</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lastRenderedPageBreak/>
        <w:t>Delegation Status for Part 60 Standards—State of Louisiana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86"/>
        <w:gridCol w:w="7946"/>
        <w:gridCol w:w="658"/>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LDEQ</w:t>
            </w:r>
            <w:r w:rsidRPr="00B22F92">
              <w:rPr>
                <w:rFonts w:ascii="Arial" w:hAnsi="Arial" w:cs="Arial"/>
                <w:b/>
                <w:bCs/>
                <w:sz w:val="20"/>
                <w:szCs w:val="20"/>
                <w:vertAlign w:val="superscript"/>
              </w:rPr>
              <w:t>1</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Fossil Fueled Steam Generators (&gt;250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Electric Utility Steam Generating Units (&gt;250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 (100 to 250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Small Steam Generating Units (10 to 100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Incinerators (&gt;50 tons per day).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(After May 14, 2007). Including amendments issued July 28, 2008. (73 FR 43626)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Z</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Surface Coating of Metal Furnature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TTT</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Other Solid Waste Incineration Units (Constructed after 12/09/2004 or Modicatation/Reconstruction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Spark Ignition Internal Combustion Engines. Including amendments issued October 8, 2008. (73 FR 59175)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Yes</w:t>
            </w:r>
          </w:p>
        </w:tc>
      </w:tr>
    </w:tbl>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1</w:t>
      </w:r>
      <w:r w:rsidRPr="00B22F92">
        <w:rPr>
          <w:rFonts w:ascii="Arial" w:hAnsi="Arial" w:cs="Arial"/>
          <w:sz w:val="20"/>
          <w:szCs w:val="20"/>
        </w:rPr>
        <w:t>The Louisiana Department of Environmental Quality (LDEQ) has been delegated all Part 60 standards promulgated by EPA, except subpart AAA—Standards of Performance for New Residential Wood Heaters—as amended in the Federal Register through July 1, 2008.</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w:t>
      </w:r>
      <w:r w:rsidRPr="00B22F92">
        <w:rPr>
          <w:rFonts w:ascii="Arial" w:hAnsi="Arial" w:cs="Arial"/>
          <w:i/>
          <w:iCs/>
          <w:sz w:val="20"/>
          <w:szCs w:val="20"/>
        </w:rPr>
        <w:t>Albuquerque-Bernalillo County Air Quality Control Board.</w:t>
      </w:r>
      <w:r w:rsidRPr="00B22F92">
        <w:rPr>
          <w:rFonts w:ascii="Arial" w:hAnsi="Arial" w:cs="Arial"/>
          <w:sz w:val="20"/>
          <w:szCs w:val="20"/>
        </w:rPr>
        <w:t xml:space="preserve"> 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 </w:t>
      </w:r>
      <w:r w:rsidRPr="00B22F92">
        <w:rPr>
          <w:rFonts w:ascii="Arial" w:hAnsi="Arial" w:cs="Arial"/>
          <w:smallCaps/>
          <w:sz w:val="20"/>
          <w:szCs w:val="20"/>
        </w:rPr>
        <w:t>Federal Register</w:t>
      </w:r>
      <w:r w:rsidRPr="00B22F92">
        <w:rPr>
          <w:rFonts w:ascii="Arial" w:hAnsi="Arial" w:cs="Arial"/>
          <w:sz w:val="20"/>
          <w:szCs w:val="20"/>
        </w:rPr>
        <w:t xml:space="preserve"> through July 1, 2004.</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[40 FR 18169, Apr. 25, 1975] </w:t>
      </w:r>
    </w:p>
    <w:p w:rsidR="00B22F92" w:rsidRPr="00B22F92" w:rsidRDefault="00B22F92" w:rsidP="00B22F92">
      <w:pPr>
        <w:pStyle w:val="ednote"/>
        <w:rPr>
          <w:rFonts w:ascii="Arial" w:hAnsi="Arial" w:cs="Arial"/>
          <w:sz w:val="20"/>
          <w:szCs w:val="20"/>
        </w:rPr>
      </w:pPr>
      <w:r w:rsidRPr="00B22F92">
        <w:rPr>
          <w:rFonts w:ascii="Arial" w:hAnsi="Arial" w:cs="Arial"/>
          <w:smallCaps/>
          <w:sz w:val="20"/>
          <w:szCs w:val="20"/>
        </w:rPr>
        <w:t>Editorial Note:</w:t>
      </w:r>
      <w:r w:rsidRPr="00B22F92">
        <w:rPr>
          <w:rFonts w:ascii="Arial" w:hAnsi="Arial" w:cs="Arial"/>
          <w:sz w:val="20"/>
          <w:szCs w:val="20"/>
        </w:rPr>
        <w:t xml:space="preserve"> For </w:t>
      </w:r>
      <w:r w:rsidRPr="00B22F92">
        <w:rPr>
          <w:rFonts w:ascii="Arial" w:hAnsi="Arial" w:cs="Arial"/>
          <w:smallCaps/>
          <w:sz w:val="20"/>
          <w:szCs w:val="20"/>
        </w:rPr>
        <w:t>Federal Register</w:t>
      </w:r>
      <w:r w:rsidRPr="00B22F92">
        <w:rPr>
          <w:rFonts w:ascii="Arial" w:hAnsi="Arial" w:cs="Arial"/>
          <w:sz w:val="20"/>
          <w:szCs w:val="20"/>
        </w:rPr>
        <w:t xml:space="preserve"> citations affecting §60.4 see the List of CFR Sections Affected, which appears in the Finding Aids section of the printed volume and at </w:t>
      </w:r>
      <w:r w:rsidRPr="00B22F92">
        <w:rPr>
          <w:rFonts w:ascii="Arial" w:hAnsi="Arial" w:cs="Arial"/>
          <w:i/>
          <w:iCs/>
          <w:sz w:val="20"/>
          <w:szCs w:val="20"/>
        </w:rPr>
        <w:t>www.fdsys.gov.</w:t>
      </w:r>
      <w:r w:rsidRPr="00B22F92">
        <w:rPr>
          <w:rFonts w:ascii="Arial" w:hAnsi="Arial" w:cs="Arial"/>
          <w:sz w:val="20"/>
          <w:szCs w:val="20"/>
        </w:rPr>
        <w:t xml:space="preserve"> </w:t>
      </w:r>
    </w:p>
    <w:p w:rsidR="00B22F92" w:rsidRPr="00B22F92" w:rsidRDefault="008B0C90" w:rsidP="00B22F92">
      <w:pPr>
        <w:pStyle w:val="fp"/>
        <w:rPr>
          <w:rFonts w:ascii="Arial" w:hAnsi="Arial" w:cs="Arial"/>
          <w:sz w:val="20"/>
          <w:szCs w:val="20"/>
        </w:rPr>
      </w:pPr>
      <w:hyperlink r:id="rId35" w:anchor="_top" w:history="1">
        <w:r w:rsidR="00B22F92" w:rsidRPr="00B22F92">
          <w:rPr>
            <w:rFonts w:ascii="Arial" w:hAnsi="Arial" w:cs="Arial"/>
            <w:noProof/>
            <w:color w:val="0000FF"/>
            <w:sz w:val="20"/>
            <w:szCs w:val="20"/>
          </w:rPr>
          <w:drawing>
            <wp:inline distT="0" distB="0" distL="0" distR="0">
              <wp:extent cx="156845" cy="156845"/>
              <wp:effectExtent l="0" t="0" r="0" b="0"/>
              <wp:docPr id="23" name="Picture 23"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6" w:name="40:7.0.1.1.1.1.151.5"/>
      <w:bookmarkEnd w:id="6"/>
      <w:r w:rsidRPr="00B22F92">
        <w:rPr>
          <w:rFonts w:ascii="Arial" w:hAnsi="Arial" w:cs="Arial"/>
          <w:sz w:val="20"/>
          <w:szCs w:val="20"/>
        </w:rPr>
        <w:t>§60.5   Determination of construction or modification.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The Administrator will respond to any request for a determination under paragraph (a) of this section within 30 days of receipt of such request.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[40 FR 58418, Dec. 16, 1975] </w:t>
      </w:r>
    </w:p>
    <w:p w:rsidR="00B22F92" w:rsidRPr="00B22F92" w:rsidRDefault="008B0C90" w:rsidP="00B22F92">
      <w:pPr>
        <w:pStyle w:val="fp"/>
        <w:rPr>
          <w:rFonts w:ascii="Arial" w:hAnsi="Arial" w:cs="Arial"/>
          <w:sz w:val="20"/>
          <w:szCs w:val="20"/>
        </w:rPr>
      </w:pPr>
      <w:hyperlink r:id="rId36" w:anchor="_top" w:history="1">
        <w:r w:rsidR="00B22F92" w:rsidRPr="00B22F92">
          <w:rPr>
            <w:rFonts w:ascii="Arial" w:hAnsi="Arial" w:cs="Arial"/>
            <w:noProof/>
            <w:color w:val="0000FF"/>
            <w:sz w:val="20"/>
            <w:szCs w:val="20"/>
          </w:rPr>
          <w:drawing>
            <wp:inline distT="0" distB="0" distL="0" distR="0">
              <wp:extent cx="156845" cy="156845"/>
              <wp:effectExtent l="0" t="0" r="0" b="0"/>
              <wp:docPr id="19" name="Picture 19"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7" w:name="40:7.0.1.1.1.1.151.6"/>
      <w:bookmarkEnd w:id="7"/>
      <w:r w:rsidRPr="00B22F92">
        <w:rPr>
          <w:rFonts w:ascii="Arial" w:hAnsi="Arial" w:cs="Arial"/>
          <w:sz w:val="20"/>
          <w:szCs w:val="20"/>
        </w:rPr>
        <w:t>§60.6   Review of plans.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When requested to do so by an owner or operator, the Administrator will review plans for construction or modification for the purpose of providing technical advice to the owner or operator.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(b)(1) A separate request shall be submitted for each construction or modification project.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[36 FR 24877, Dec. 23, 1971, as amended at 39 FR 9314, Mar. 8, 1974] </w:t>
      </w:r>
    </w:p>
    <w:p w:rsidR="00B22F92" w:rsidRPr="00B22F92" w:rsidRDefault="008B0C90" w:rsidP="00B22F92">
      <w:pPr>
        <w:pStyle w:val="fp"/>
        <w:rPr>
          <w:rFonts w:ascii="Arial" w:hAnsi="Arial" w:cs="Arial"/>
          <w:sz w:val="20"/>
          <w:szCs w:val="20"/>
        </w:rPr>
      </w:pPr>
      <w:hyperlink r:id="rId37" w:anchor="_top" w:history="1">
        <w:r w:rsidR="00B22F92" w:rsidRPr="00B22F92">
          <w:rPr>
            <w:rFonts w:ascii="Arial" w:hAnsi="Arial" w:cs="Arial"/>
            <w:noProof/>
            <w:color w:val="0000FF"/>
            <w:sz w:val="20"/>
            <w:szCs w:val="20"/>
          </w:rPr>
          <w:drawing>
            <wp:inline distT="0" distB="0" distL="0" distR="0">
              <wp:extent cx="156845" cy="156845"/>
              <wp:effectExtent l="0" t="0" r="0" b="0"/>
              <wp:docPr id="18" name="Picture 18"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8" w:name="40:7.0.1.1.1.1.151.7"/>
      <w:bookmarkEnd w:id="8"/>
      <w:r w:rsidRPr="00B22F92">
        <w:rPr>
          <w:rFonts w:ascii="Arial" w:hAnsi="Arial" w:cs="Arial"/>
          <w:sz w:val="20"/>
          <w:szCs w:val="20"/>
        </w:rPr>
        <w:t>§60.7   Notification and record keeping.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[Reserved]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A notification of the actual date of initial startup of an affected facility postmarked within 15 days after such date.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A notification of the date upon which demonstration of the continuous monitoring system performance commences in accordance with §60.13(c). Notification shall be postmarked not less than 30 days prior to such date.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The date and time identifying each period during which the continuous monitoring system was inoperative except for zero and span checks and the nature of the system repairs or adjustments.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When no excess emissions have occurred or the continuous monitoring system(s) have not been inoperative, repaired, or adjusted, such information shall be stated in the report.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(d) The summary report form shall contain the information and be in the format shown in figure 1 unless otherwise specified by the Administrator. One summary report form shall be submitted for each pollutant monitored at each affected facility.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B22F92" w:rsidRPr="00B22F92" w:rsidRDefault="00B22F92" w:rsidP="00B22F92">
      <w:pPr>
        <w:pStyle w:val="Heading1"/>
        <w:jc w:val="left"/>
        <w:rPr>
          <w:rFonts w:ascii="Arial" w:hAnsi="Arial" w:cs="Arial"/>
          <w:b w:val="0"/>
          <w:bCs w:val="0"/>
          <w:smallCaps/>
          <w:sz w:val="20"/>
          <w:szCs w:val="20"/>
        </w:rPr>
      </w:pPr>
      <w:r w:rsidRPr="00B22F92">
        <w:rPr>
          <w:rFonts w:ascii="Arial" w:hAnsi="Arial" w:cs="Arial"/>
          <w:b w:val="0"/>
          <w:bCs w:val="0"/>
          <w:smallCaps/>
          <w:sz w:val="20"/>
          <w:szCs w:val="20"/>
        </w:rPr>
        <w:t>Figure 1—Summary Report—Gaseous and Opacity Excess Emission and Monitoring System Performance</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Pollutant (Circle One—SO</w:t>
      </w:r>
      <w:r w:rsidRPr="00B22F92">
        <w:rPr>
          <w:rFonts w:ascii="Arial" w:hAnsi="Arial" w:cs="Arial"/>
          <w:sz w:val="20"/>
          <w:szCs w:val="20"/>
          <w:vertAlign w:val="subscript"/>
        </w:rPr>
        <w:t>2</w:t>
      </w:r>
      <w:r w:rsidRPr="00B22F92">
        <w:rPr>
          <w:rFonts w:ascii="Arial" w:hAnsi="Arial" w:cs="Arial"/>
          <w:sz w:val="20"/>
          <w:szCs w:val="20"/>
        </w:rPr>
        <w:t>/NO</w:t>
      </w:r>
      <w:r w:rsidRPr="00B22F92">
        <w:rPr>
          <w:rFonts w:ascii="Arial" w:hAnsi="Arial" w:cs="Arial"/>
          <w:sz w:val="20"/>
          <w:szCs w:val="20"/>
          <w:vertAlign w:val="subscript"/>
        </w:rPr>
        <w:t>X</w:t>
      </w:r>
      <w:r w:rsidRPr="00B22F92">
        <w:rPr>
          <w:rFonts w:ascii="Arial" w:hAnsi="Arial" w:cs="Arial"/>
          <w:sz w:val="20"/>
          <w:szCs w:val="20"/>
        </w:rPr>
        <w:t>/TRS/H</w:t>
      </w:r>
      <w:r w:rsidRPr="00B22F92">
        <w:rPr>
          <w:rFonts w:ascii="Arial" w:hAnsi="Arial" w:cs="Arial"/>
          <w:sz w:val="20"/>
          <w:szCs w:val="20"/>
          <w:vertAlign w:val="subscript"/>
        </w:rPr>
        <w:t>2</w:t>
      </w:r>
      <w:r w:rsidRPr="00B22F92">
        <w:rPr>
          <w:rFonts w:ascii="Arial" w:hAnsi="Arial" w:cs="Arial"/>
          <w:sz w:val="20"/>
          <w:szCs w:val="20"/>
        </w:rPr>
        <w:t>S/CO/Opacity)</w:t>
      </w:r>
    </w:p>
    <w:p w:rsidR="00B22F92" w:rsidRPr="00B22F92" w:rsidRDefault="00B22F92" w:rsidP="00B22F92">
      <w:pPr>
        <w:pStyle w:val="fp-1"/>
        <w:rPr>
          <w:rFonts w:ascii="Arial" w:hAnsi="Arial" w:cs="Arial"/>
          <w:sz w:val="20"/>
          <w:szCs w:val="20"/>
        </w:rPr>
      </w:pPr>
      <w:r w:rsidRPr="00B22F92">
        <w:rPr>
          <w:rFonts w:ascii="Arial" w:hAnsi="Arial" w:cs="Arial"/>
          <w:sz w:val="20"/>
          <w:szCs w:val="20"/>
        </w:rPr>
        <w:t>Reporting period dates: From _____ to _____</w:t>
      </w:r>
    </w:p>
    <w:p w:rsidR="00B22F92" w:rsidRPr="00B22F92" w:rsidRDefault="00B22F92" w:rsidP="00B22F92">
      <w:pPr>
        <w:pStyle w:val="fp-1"/>
        <w:rPr>
          <w:rFonts w:ascii="Arial" w:hAnsi="Arial" w:cs="Arial"/>
          <w:sz w:val="20"/>
          <w:szCs w:val="20"/>
        </w:rPr>
      </w:pPr>
      <w:r w:rsidRPr="00B22F92">
        <w:rPr>
          <w:rFonts w:ascii="Arial" w:hAnsi="Arial" w:cs="Arial"/>
          <w:sz w:val="20"/>
          <w:szCs w:val="20"/>
        </w:rPr>
        <w:t>Company:</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Emission Limitation</w:t>
      </w:r>
    </w:p>
    <w:p w:rsidR="00B22F92" w:rsidRPr="00B22F92" w:rsidRDefault="00B22F92" w:rsidP="00B22F92">
      <w:pPr>
        <w:pStyle w:val="fp-1"/>
        <w:rPr>
          <w:rFonts w:ascii="Arial" w:hAnsi="Arial" w:cs="Arial"/>
          <w:sz w:val="20"/>
          <w:szCs w:val="20"/>
        </w:rPr>
      </w:pPr>
      <w:r w:rsidRPr="00B22F92">
        <w:rPr>
          <w:rFonts w:ascii="Arial" w:hAnsi="Arial" w:cs="Arial"/>
          <w:sz w:val="20"/>
          <w:szCs w:val="20"/>
        </w:rPr>
        <w:t>Address:</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Monitor Manufacturer and Model No.</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Date of Latest CMS Certification or Audit</w:t>
      </w:r>
    </w:p>
    <w:p w:rsidR="00B22F92" w:rsidRPr="00B22F92" w:rsidRDefault="00B22F92" w:rsidP="00B22F92">
      <w:pPr>
        <w:pStyle w:val="fp-1"/>
        <w:rPr>
          <w:rFonts w:ascii="Arial" w:hAnsi="Arial" w:cs="Arial"/>
          <w:sz w:val="20"/>
          <w:szCs w:val="20"/>
        </w:rPr>
      </w:pPr>
      <w:r w:rsidRPr="00B22F92">
        <w:rPr>
          <w:rFonts w:ascii="Arial" w:hAnsi="Arial" w:cs="Arial"/>
          <w:sz w:val="20"/>
          <w:szCs w:val="20"/>
        </w:rPr>
        <w:t>Process Unit(s) Description:</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Total source operating time in reporting period</w:t>
      </w:r>
      <w:r w:rsidRPr="00B22F92">
        <w:rPr>
          <w:rStyle w:val="su1"/>
          <w:rFonts w:ascii="Arial" w:hAnsi="Arial" w:cs="Arial"/>
          <w:sz w:val="20"/>
          <w:szCs w:val="20"/>
          <w:shd w:val="clear" w:color="auto" w:fill="FFFFFF"/>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900"/>
        <w:gridCol w:w="281"/>
        <w:gridCol w:w="3928"/>
        <w:gridCol w:w="281"/>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Emission data summary</w:t>
            </w:r>
            <w:r w:rsidRPr="00B22F92">
              <w:rPr>
                <w:rFonts w:ascii="Arial" w:hAnsi="Arial" w:cs="Arial"/>
                <w:b/>
                <w:bCs/>
                <w:sz w:val="20"/>
                <w:szCs w:val="20"/>
                <w:vertAlign w:val="superscript"/>
              </w:rPr>
              <w:t>1</w:t>
            </w:r>
            <w:r w:rsidRPr="00B22F92">
              <w:rPr>
                <w:rFonts w:ascii="Arial"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CMS performance summary</w:t>
            </w:r>
            <w:r w:rsidRPr="00B22F92">
              <w:rPr>
                <w:rFonts w:ascii="Arial" w:hAnsi="Arial" w:cs="Arial"/>
                <w:b/>
                <w:bCs/>
                <w:sz w:val="20"/>
                <w:szCs w:val="20"/>
                <w:vertAlign w:val="superscript"/>
              </w:rPr>
              <w:t>1</w:t>
            </w:r>
            <w:r w:rsidRPr="00B22F92">
              <w:rPr>
                <w:rFonts w:ascii="Arial"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22F92" w:rsidRPr="00B22F92" w:rsidRDefault="00B22F92" w:rsidP="00B22F92">
            <w:pPr>
              <w:rPr>
                <w:rFonts w:ascii="Arial" w:hAnsi="Arial" w:cs="Arial"/>
                <w:sz w:val="20"/>
                <w:szCs w:val="20"/>
              </w:rPr>
            </w:pPr>
            <w:r w:rsidRPr="00B22F92">
              <w:rPr>
                <w:rFonts w:ascii="Arial" w:hAnsi="Arial" w:cs="Arial"/>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22F92" w:rsidRPr="00B22F92" w:rsidRDefault="00B22F92" w:rsidP="00B22F92">
            <w:pPr>
              <w:rPr>
                <w:rFonts w:ascii="Arial" w:hAnsi="Arial" w:cs="Arial"/>
                <w:sz w:val="20"/>
                <w:szCs w:val="20"/>
              </w:rPr>
            </w:pPr>
            <w:r w:rsidRPr="00B22F92">
              <w:rPr>
                <w:rFonts w:ascii="Arial" w:hAnsi="Arial" w:cs="Arial"/>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22F92" w:rsidRPr="00B22F92" w:rsidRDefault="00B22F92" w:rsidP="00B22F92">
            <w:pPr>
              <w:rPr>
                <w:rFonts w:ascii="Arial" w:hAnsi="Arial" w:cs="Arial"/>
                <w:sz w:val="20"/>
                <w:szCs w:val="20"/>
              </w:rPr>
            </w:pPr>
            <w:r w:rsidRPr="00B22F92">
              <w:rPr>
                <w:rFonts w:ascii="Arial" w:hAnsi="Arial" w:cs="Arial"/>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22F92" w:rsidRPr="00B22F92" w:rsidRDefault="00B22F92" w:rsidP="00B22F92">
            <w:pPr>
              <w:rPr>
                <w:rFonts w:ascii="Arial" w:hAnsi="Arial" w:cs="Arial"/>
                <w:sz w:val="20"/>
                <w:szCs w:val="20"/>
              </w:rPr>
            </w:pPr>
            <w:r w:rsidRPr="00B22F92">
              <w:rPr>
                <w:rFonts w:ascii="Arial" w:hAnsi="Arial" w:cs="Arial"/>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r w:rsidRPr="00B22F92">
              <w:rPr>
                <w:rFonts w:ascii="Arial"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w:t>
            </w:r>
            <w:r w:rsidRPr="00B22F92">
              <w:rPr>
                <w:rFonts w:ascii="Arial" w:hAnsi="Arial" w:cs="Arial"/>
                <w:sz w:val="20"/>
                <w:szCs w:val="20"/>
                <w:vertAlign w:val="superscript"/>
              </w:rPr>
              <w:t>2</w:t>
            </w:r>
          </w:p>
        </w:tc>
      </w:tr>
    </w:tbl>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1</w:t>
      </w:r>
      <w:r w:rsidRPr="00B22F92">
        <w:rPr>
          <w:rFonts w:ascii="Arial" w:hAnsi="Arial" w:cs="Arial"/>
          <w:sz w:val="20"/>
          <w:szCs w:val="20"/>
        </w:rPr>
        <w:t>For opacity, record all times in minutes. For gases, record all times in hours.</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2</w:t>
      </w:r>
      <w:r w:rsidRPr="00B22F92">
        <w:rPr>
          <w:rFonts w:ascii="Arial" w:hAnsi="Arial" w:cs="Arial"/>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On a separate page, describe any changes since last quarter in CMS, process or controls. I certify that the information contained in this report is true, accurate, and complete.</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 </w:t>
      </w:r>
    </w:p>
    <w:p w:rsidR="00B22F92" w:rsidRPr="00B22F92" w:rsidRDefault="00B22F92" w:rsidP="00B22F92">
      <w:pPr>
        <w:pStyle w:val="fp"/>
        <w:rPr>
          <w:rFonts w:ascii="Arial" w:hAnsi="Arial" w:cs="Arial"/>
          <w:sz w:val="20"/>
          <w:szCs w:val="20"/>
        </w:rPr>
      </w:pPr>
      <w:r w:rsidRPr="00B22F92">
        <w:rPr>
          <w:rFonts w:ascii="Arial" w:hAnsi="Arial" w:cs="Arial"/>
          <w:sz w:val="20"/>
          <w:szCs w:val="20"/>
        </w:rPr>
        <w:t>Name</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 </w:t>
      </w:r>
    </w:p>
    <w:p w:rsidR="00B22F92" w:rsidRPr="00B22F92" w:rsidRDefault="00B22F92" w:rsidP="00B22F92">
      <w:pPr>
        <w:pStyle w:val="fp"/>
        <w:rPr>
          <w:rFonts w:ascii="Arial" w:hAnsi="Arial" w:cs="Arial"/>
          <w:sz w:val="20"/>
          <w:szCs w:val="20"/>
        </w:rPr>
      </w:pPr>
      <w:r w:rsidRPr="00B22F92">
        <w:rPr>
          <w:rFonts w:ascii="Arial" w:hAnsi="Arial" w:cs="Arial"/>
          <w:sz w:val="20"/>
          <w:szCs w:val="20"/>
        </w:rPr>
        <w:t>Signature</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 </w:t>
      </w:r>
    </w:p>
    <w:p w:rsidR="00B22F92" w:rsidRPr="00B22F92" w:rsidRDefault="00B22F92" w:rsidP="00B22F92">
      <w:pPr>
        <w:pStyle w:val="fp"/>
        <w:rPr>
          <w:rFonts w:ascii="Arial" w:hAnsi="Arial" w:cs="Arial"/>
          <w:sz w:val="20"/>
          <w:szCs w:val="20"/>
        </w:rPr>
      </w:pPr>
      <w:r w:rsidRPr="00B22F92">
        <w:rPr>
          <w:rFonts w:ascii="Arial" w:hAnsi="Arial" w:cs="Arial"/>
          <w:sz w:val="20"/>
          <w:szCs w:val="20"/>
        </w:rPr>
        <w:t>Title</w:t>
      </w:r>
    </w:p>
    <w:p w:rsidR="00B22F92" w:rsidRPr="00B22F92" w:rsidRDefault="00B22F92" w:rsidP="00B22F92">
      <w:pPr>
        <w:rPr>
          <w:rFonts w:ascii="Arial" w:hAnsi="Arial" w:cs="Arial"/>
          <w:sz w:val="20"/>
          <w:szCs w:val="20"/>
        </w:rPr>
      </w:pPr>
      <w:r w:rsidRPr="00B22F92">
        <w:rPr>
          <w:rStyle w:val="fpdash"/>
          <w:rFonts w:ascii="Arial" w:hAnsi="Arial" w:cs="Arial"/>
          <w:sz w:val="20"/>
          <w:szCs w:val="20"/>
        </w:rPr>
        <w:t> </w:t>
      </w:r>
    </w:p>
    <w:p w:rsidR="00B22F92" w:rsidRPr="00B22F92" w:rsidRDefault="00B22F92" w:rsidP="00B22F92">
      <w:pPr>
        <w:pStyle w:val="fp"/>
        <w:rPr>
          <w:rFonts w:ascii="Arial" w:hAnsi="Arial" w:cs="Arial"/>
          <w:sz w:val="20"/>
          <w:szCs w:val="20"/>
        </w:rPr>
      </w:pPr>
      <w:r w:rsidRPr="00B22F92">
        <w:rPr>
          <w:rFonts w:ascii="Arial" w:hAnsi="Arial" w:cs="Arial"/>
          <w:sz w:val="20"/>
          <w:szCs w:val="20"/>
        </w:rPr>
        <w:t>Date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The owner or operator continues to comply with all recordkeeping and monitoring requirements specified in this subpart and the applicable standard; and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(iii) The Administrator does not object to a reduced frequency of reporting for the affected facility, as provided in paragraph (e)(2)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The Administrator or delegated authority, upon notification to the source, may require the owner or operator to maintain all measurements as required by paragraph (f) of this section, if the Administrator </w:t>
      </w:r>
      <w:r w:rsidRPr="00B22F92">
        <w:rPr>
          <w:rFonts w:ascii="Arial" w:hAnsi="Arial" w:cs="Arial"/>
          <w:sz w:val="20"/>
          <w:szCs w:val="20"/>
        </w:rPr>
        <w:lastRenderedPageBreak/>
        <w:t>or the delegated authority determines these records are required to more accurately assess the compliance status of the affected source.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(h) Individual subparts of this part may include specific provisions which clarify or make inapplicable the provisions set forth in this section.</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B22F92" w:rsidRPr="00B22F92" w:rsidRDefault="008B0C90" w:rsidP="00B22F92">
      <w:pPr>
        <w:pStyle w:val="fp"/>
        <w:rPr>
          <w:rFonts w:ascii="Arial" w:hAnsi="Arial" w:cs="Arial"/>
          <w:sz w:val="20"/>
          <w:szCs w:val="20"/>
        </w:rPr>
      </w:pPr>
      <w:hyperlink r:id="rId38" w:anchor="_top" w:history="1">
        <w:r w:rsidR="00B22F92" w:rsidRPr="00B22F92">
          <w:rPr>
            <w:rFonts w:ascii="Arial" w:hAnsi="Arial" w:cs="Arial"/>
            <w:noProof/>
            <w:color w:val="0000FF"/>
            <w:sz w:val="20"/>
            <w:szCs w:val="20"/>
          </w:rPr>
          <w:drawing>
            <wp:inline distT="0" distB="0" distL="0" distR="0">
              <wp:extent cx="156845" cy="156845"/>
              <wp:effectExtent l="0" t="0" r="0" b="0"/>
              <wp:docPr id="17" name="Picture 17"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9" w:name="40:7.0.1.1.1.1.151.8"/>
      <w:bookmarkEnd w:id="9"/>
      <w:r w:rsidRPr="00B22F92">
        <w:rPr>
          <w:rFonts w:ascii="Arial" w:hAnsi="Arial" w:cs="Arial"/>
          <w:sz w:val="20"/>
          <w:szCs w:val="20"/>
        </w:rPr>
        <w:t>§60.8   Performance tests.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 The owner or operator of an affected facility shall provide, or cause to be provided, performance testing facilities as follows: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Safe sampling platform(s).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Safe access to sampling platform(s).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Utilities for sampling and testing equipment.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w:t>
      </w:r>
      <w:r w:rsidRPr="00B22F92">
        <w:rPr>
          <w:rFonts w:ascii="Arial" w:hAnsi="Arial" w:cs="Arial"/>
          <w:sz w:val="20"/>
          <w:szCs w:val="20"/>
        </w:rPr>
        <w:lastRenderedPageBreak/>
        <w:t>meteorological conditions, or other circumstances, beyond the owner or operator's control, compliance may, upon the Administrator's approval, be determined using the arithmetic mean of the results of the two other runs.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B22F92">
        <w:rPr>
          <w:rFonts w:ascii="Arial" w:hAnsi="Arial" w:cs="Arial"/>
          <w:i/>
          <w:iCs/>
          <w:sz w:val="20"/>
          <w:szCs w:val="20"/>
        </w:rPr>
        <w:t>www.epa.gov/ttn/emc,</w:t>
      </w:r>
      <w:r w:rsidRPr="00B22F92">
        <w:rPr>
          <w:rFonts w:ascii="Arial" w:hAnsi="Arial" w:cs="Arial"/>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w:t>
      </w:r>
      <w:r w:rsidRPr="00B22F92">
        <w:rPr>
          <w:rFonts w:ascii="Arial" w:hAnsi="Arial" w:cs="Arial"/>
          <w:sz w:val="20"/>
          <w:szCs w:val="20"/>
        </w:rPr>
        <w:lastRenderedPageBreak/>
        <w:t>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Preparing the sample;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Confirming the true concentration of the sample;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(iv) Providing the opportunity for the compliance authority to comment on the selected concentration level for an audit sample;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 Distributing the sample to the user in a manner that guarantees that the true value of the sample is unknown to the user;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 Recording the measured concentration reported by the user and determining if the measured value is within acceptable limits;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(viii) Evaluating the acceptance limits of samples at least once every two years to determine in cooperation with the voluntary consensus standard body if they should be changed;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Checking audit samples to confirm their true value as reported by the AASP;</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Performing technical systems audits of the AASP's facilities and operating procedures at least once every two years;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Providing standards for use by the voluntary consensus standard body to approve the accrediting body that will accredit the audit sample providers.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B22F92">
        <w:rPr>
          <w:rFonts w:ascii="Arial" w:hAnsi="Arial" w:cs="Arial"/>
          <w:i/>
          <w:iCs/>
          <w:sz w:val="20"/>
          <w:szCs w:val="20"/>
        </w:rPr>
        <w:t>http://standards.gov/standards_gov/a119.cfm.</w:t>
      </w:r>
      <w:r w:rsidRPr="00B22F92">
        <w:rPr>
          <w:rFonts w:ascii="Arial" w:hAnsi="Arial" w:cs="Arial"/>
          <w:sz w:val="20"/>
          <w:szCs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B22F92">
        <w:rPr>
          <w:rFonts w:ascii="Arial" w:hAnsi="Arial" w:cs="Arial"/>
          <w:i/>
          <w:iCs/>
          <w:sz w:val="20"/>
          <w:szCs w:val="20"/>
        </w:rPr>
        <w:t>http://www.epa.gov/ttn/emc.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rsidR="00B22F92" w:rsidRPr="00B22F92" w:rsidRDefault="008B0C90" w:rsidP="00B22F92">
      <w:pPr>
        <w:pStyle w:val="fp"/>
        <w:rPr>
          <w:rFonts w:ascii="Arial" w:hAnsi="Arial" w:cs="Arial"/>
          <w:sz w:val="20"/>
          <w:szCs w:val="20"/>
        </w:rPr>
      </w:pPr>
      <w:hyperlink r:id="rId39" w:anchor="_top" w:history="1">
        <w:r w:rsidR="00B22F92" w:rsidRPr="00B22F92">
          <w:rPr>
            <w:rFonts w:ascii="Arial" w:hAnsi="Arial" w:cs="Arial"/>
            <w:noProof/>
            <w:color w:val="0000FF"/>
            <w:sz w:val="20"/>
            <w:szCs w:val="20"/>
          </w:rPr>
          <w:drawing>
            <wp:inline distT="0" distB="0" distL="0" distR="0">
              <wp:extent cx="156845" cy="156845"/>
              <wp:effectExtent l="0" t="0" r="0" b="0"/>
              <wp:docPr id="16" name="Picture 16"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0" w:name="40:7.0.1.1.1.1.151.9"/>
      <w:bookmarkEnd w:id="10"/>
      <w:r w:rsidRPr="00B22F92">
        <w:rPr>
          <w:rFonts w:ascii="Arial" w:hAnsi="Arial" w:cs="Arial"/>
          <w:sz w:val="20"/>
          <w:szCs w:val="20"/>
        </w:rPr>
        <w:lastRenderedPageBreak/>
        <w:t>§60.9   Availability of information.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B22F92" w:rsidRPr="00B22F92" w:rsidRDefault="008B0C90" w:rsidP="00B22F92">
      <w:pPr>
        <w:pStyle w:val="fp"/>
        <w:rPr>
          <w:rFonts w:ascii="Arial" w:hAnsi="Arial" w:cs="Arial"/>
          <w:sz w:val="20"/>
          <w:szCs w:val="20"/>
        </w:rPr>
      </w:pPr>
      <w:hyperlink r:id="rId40" w:anchor="_top" w:history="1">
        <w:r w:rsidR="00B22F92" w:rsidRPr="00B22F92">
          <w:rPr>
            <w:rFonts w:ascii="Arial" w:hAnsi="Arial" w:cs="Arial"/>
            <w:noProof/>
            <w:color w:val="0000FF"/>
            <w:sz w:val="20"/>
            <w:szCs w:val="20"/>
          </w:rPr>
          <w:drawing>
            <wp:inline distT="0" distB="0" distL="0" distR="0">
              <wp:extent cx="156845" cy="156845"/>
              <wp:effectExtent l="0" t="0" r="0" b="0"/>
              <wp:docPr id="15" name="Picture 15"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1" w:name="40:7.0.1.1.1.1.151.10"/>
      <w:bookmarkEnd w:id="11"/>
      <w:r w:rsidRPr="00B22F92">
        <w:rPr>
          <w:rFonts w:ascii="Arial" w:hAnsi="Arial" w:cs="Arial"/>
          <w:sz w:val="20"/>
          <w:szCs w:val="20"/>
        </w:rPr>
        <w:t>§60.10   State authority.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The provisions of this part shall not be construed in any manner to preclude any State or political subdivision thereof from: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Adopting and enforcing any emission standard or limitation applicable to an affected facility, provided that such emission standard or limitation is not less stringent than the standard applicable to such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Requiring the owner or operator of an affected facility to obtain permits, licenses, or approvals prior to initiating construction, modification, or operation of such facility. </w:t>
      </w:r>
    </w:p>
    <w:p w:rsidR="00B22F92" w:rsidRPr="00B22F92" w:rsidRDefault="008B0C90" w:rsidP="00B22F92">
      <w:pPr>
        <w:pStyle w:val="fp"/>
        <w:rPr>
          <w:rFonts w:ascii="Arial" w:hAnsi="Arial" w:cs="Arial"/>
          <w:sz w:val="20"/>
          <w:szCs w:val="20"/>
        </w:rPr>
      </w:pPr>
      <w:hyperlink r:id="rId41" w:anchor="_top" w:history="1">
        <w:r w:rsidR="00B22F92" w:rsidRPr="00B22F92">
          <w:rPr>
            <w:rFonts w:ascii="Arial" w:hAnsi="Arial" w:cs="Arial"/>
            <w:noProof/>
            <w:color w:val="0000FF"/>
            <w:sz w:val="20"/>
            <w:szCs w:val="20"/>
          </w:rPr>
          <w:drawing>
            <wp:inline distT="0" distB="0" distL="0" distR="0">
              <wp:extent cx="156845" cy="156845"/>
              <wp:effectExtent l="0" t="0" r="0" b="0"/>
              <wp:docPr id="14" name="Picture 14"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2" w:name="40:7.0.1.1.1.1.151.11"/>
      <w:bookmarkEnd w:id="12"/>
      <w:r w:rsidRPr="00B22F92">
        <w:rPr>
          <w:rFonts w:ascii="Arial" w:hAnsi="Arial" w:cs="Arial"/>
          <w:sz w:val="20"/>
          <w:szCs w:val="20"/>
        </w:rPr>
        <w:t>§60.11   Compliance with standards and maintenance requirements.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Compliance with standards in this part, other than opacity standards, shall be determined in accordance with performance tests established by §60.8, unless otherwise specified in the applicable standard.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The opacity standards set forth in this part shall apply at all times except during periods of startup, shutdown, malfunction, and as otherwise provided in the applicable standard.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(e)(1) For the purpose of demonstrating initial compliance, opacity observations shall be conducted concurrently with the initial performance test required in §60.8 unless one of the following conditions </w:t>
      </w:r>
      <w:r w:rsidRPr="00B22F92">
        <w:rPr>
          <w:rFonts w:ascii="Arial" w:hAnsi="Arial" w:cs="Arial"/>
          <w:sz w:val="20"/>
          <w:szCs w:val="20"/>
        </w:rPr>
        <w:lastRenderedPageBreak/>
        <w:t>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w:t>
      </w:r>
      <w:r w:rsidRPr="00B22F92">
        <w:rPr>
          <w:rFonts w:ascii="Arial" w:hAnsi="Arial" w:cs="Arial"/>
          <w:sz w:val="20"/>
          <w:szCs w:val="20"/>
        </w:rPr>
        <w:lastRenderedPageBreak/>
        <w:t>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B22F92">
        <w:rPr>
          <w:rFonts w:ascii="Arial" w:hAnsi="Arial" w:cs="Arial"/>
          <w:smallCaps/>
          <w:sz w:val="20"/>
          <w:szCs w:val="20"/>
        </w:rPr>
        <w:t>Federal Register.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(f) Special provisions set forth under an applicable subpart shall supersede any conflicting provisions in paragraphs (a) through (e)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B22F92" w:rsidRPr="00B22F92" w:rsidRDefault="008B0C90" w:rsidP="00B22F92">
      <w:pPr>
        <w:pStyle w:val="fp"/>
        <w:rPr>
          <w:rFonts w:ascii="Arial" w:hAnsi="Arial" w:cs="Arial"/>
          <w:sz w:val="20"/>
          <w:szCs w:val="20"/>
        </w:rPr>
      </w:pPr>
      <w:hyperlink r:id="rId42" w:anchor="_top" w:history="1">
        <w:r w:rsidR="00B22F92" w:rsidRPr="00B22F92">
          <w:rPr>
            <w:rFonts w:ascii="Arial" w:hAnsi="Arial" w:cs="Arial"/>
            <w:noProof/>
            <w:color w:val="0000FF"/>
            <w:sz w:val="20"/>
            <w:szCs w:val="20"/>
          </w:rPr>
          <w:drawing>
            <wp:inline distT="0" distB="0" distL="0" distR="0">
              <wp:extent cx="156845" cy="156845"/>
              <wp:effectExtent l="0" t="0" r="0" b="0"/>
              <wp:docPr id="13" name="Picture 13"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3" w:name="40:7.0.1.1.1.1.151.12"/>
      <w:bookmarkEnd w:id="13"/>
      <w:r w:rsidRPr="00B22F92">
        <w:rPr>
          <w:rFonts w:ascii="Arial" w:hAnsi="Arial" w:cs="Arial"/>
          <w:sz w:val="20"/>
          <w:szCs w:val="20"/>
        </w:rPr>
        <w:t>§60.12   Circumvention.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[39 FR 9314, Mar. 8, 1974] </w:t>
      </w:r>
    </w:p>
    <w:p w:rsidR="00B22F92" w:rsidRPr="00B22F92" w:rsidRDefault="008B0C90" w:rsidP="00B22F92">
      <w:pPr>
        <w:pStyle w:val="fp"/>
        <w:rPr>
          <w:rFonts w:ascii="Arial" w:hAnsi="Arial" w:cs="Arial"/>
          <w:sz w:val="20"/>
          <w:szCs w:val="20"/>
        </w:rPr>
      </w:pPr>
      <w:hyperlink r:id="rId43" w:anchor="_top" w:history="1">
        <w:r w:rsidR="00B22F92" w:rsidRPr="00B22F92">
          <w:rPr>
            <w:rFonts w:ascii="Arial" w:hAnsi="Arial" w:cs="Arial"/>
            <w:noProof/>
            <w:color w:val="0000FF"/>
            <w:sz w:val="20"/>
            <w:szCs w:val="20"/>
          </w:rPr>
          <w:drawing>
            <wp:inline distT="0" distB="0" distL="0" distR="0">
              <wp:extent cx="156845" cy="156845"/>
              <wp:effectExtent l="0" t="0" r="0" b="0"/>
              <wp:docPr id="12" name="Picture 12"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4" w:name="40:7.0.1.1.1.1.151.13"/>
      <w:bookmarkEnd w:id="14"/>
      <w:r w:rsidRPr="00B22F92">
        <w:rPr>
          <w:rFonts w:ascii="Arial" w:hAnsi="Arial" w:cs="Arial"/>
          <w:sz w:val="20"/>
          <w:szCs w:val="20"/>
        </w:rPr>
        <w:t>§60.13   Monitoring requirements.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 Except as provided under paragraph (h)(2)(iii) of this section, for a full operating hour (any clock hour with 60 minutes of unit operation), at least four valid data points are required to calculate the hourly average, </w:t>
      </w:r>
      <w:r w:rsidRPr="00B22F92">
        <w:rPr>
          <w:rFonts w:ascii="Arial" w:hAnsi="Arial" w:cs="Arial"/>
          <w:i/>
          <w:iCs/>
          <w:sz w:val="20"/>
          <w:szCs w:val="20"/>
        </w:rPr>
        <w:t>i.e.</w:t>
      </w:r>
      <w:r w:rsidRPr="00B22F92">
        <w:rPr>
          <w:rFonts w:ascii="Arial" w:hAnsi="Arial" w:cs="Arial"/>
          <w:sz w:val="20"/>
          <w:szCs w:val="20"/>
        </w:rPr>
        <w:t>, one data point in each of the 15-minute quadrants of the hour.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For any operating hour in which required maintenance or quality-assurance activities are performed: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If the unit operates in two or more quadrants of the hour, a minimum of two valid data points, separated by at least 15 minutes, is required to calculate the hourly average; 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If the unit operates in only one quadrant of the hour, at least one valid data point is required to calculate the hourly average.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 For each full or partial operating hour, all valid data points shall be used to calculate the hourly average.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 Owners and operators complying with the requirements of §60.7(f)(1) or (2) must include any data recorded during periods of monitor breakdown or malfunction in the data averages.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(viii) When specified in an applicable subpart, hourly averages for certain partial operating hours shall not be computed or included in the emission averages (e.g., hours with 30 minutes of unit operation under §60.47b(d)).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(ix) Either arithmetic or integrated averaging of all data may be used to calculate the hourly averages. The data may be recorded in reduced or nonreduced form (e.g., ppm pollutant and percent O</w:t>
      </w:r>
      <w:r w:rsidRPr="00B22F92">
        <w:rPr>
          <w:rFonts w:ascii="Arial" w:hAnsi="Arial" w:cs="Arial"/>
          <w:sz w:val="20"/>
          <w:szCs w:val="20"/>
          <w:vertAlign w:val="subscript"/>
        </w:rPr>
        <w:t>2</w:t>
      </w:r>
      <w:r w:rsidRPr="00B22F92">
        <w:rPr>
          <w:rFonts w:ascii="Arial" w:hAnsi="Arial" w:cs="Arial"/>
          <w:sz w:val="20"/>
          <w:szCs w:val="20"/>
        </w:rPr>
        <w:t xml:space="preserve"> or ng/J of pollutant).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 After receipt and consideration of written application, the Administrator may approve alternatives to any monitoring procedures or requirements of this part including, but not limited to the following: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Alternative monitoring requirements when the affected facility is infrequently operated.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Alternative monitoring requirements to accommodate continuous monitoring systems that require additional measurements to correct for stack moisture conditions.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Alternative methods of converting pollutant concentration measurements to units of the standards.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Alternative procedures for performing daily checks of zero and span drift that do not involve use of span gases or test cells.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(7) Alternatives to the A.S.T.M. test methods or sampling procedures specified by any subpart.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(9) Alternative monitoring requirements when the effluent from a single affected facility or the combined effluent from two or more affected facilities is released to the atmosphere through more than one point.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(j) An alternative to the relative accuracy (RA) test specified in Performance Specification 2 of appendix B may be requested as follows: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w:t>
      </w:r>
      <w:r w:rsidRPr="00B22F92">
        <w:rPr>
          <w:rFonts w:ascii="Arial" w:hAnsi="Arial" w:cs="Arial"/>
          <w:sz w:val="20"/>
          <w:szCs w:val="20"/>
        </w:rPr>
        <w:lastRenderedPageBreak/>
        <w:t>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79 FR 11242, Feb. 27, 2014] </w:t>
      </w:r>
    </w:p>
    <w:p w:rsidR="00B22F92" w:rsidRPr="00B22F92" w:rsidRDefault="00B22F92" w:rsidP="00B22F92">
      <w:pPr>
        <w:pStyle w:val="ednote"/>
        <w:rPr>
          <w:rFonts w:ascii="Arial" w:hAnsi="Arial" w:cs="Arial"/>
          <w:sz w:val="20"/>
          <w:szCs w:val="20"/>
        </w:rPr>
      </w:pPr>
      <w:r w:rsidRPr="00B22F92">
        <w:rPr>
          <w:rFonts w:ascii="Arial" w:hAnsi="Arial" w:cs="Arial"/>
          <w:smallCaps/>
          <w:sz w:val="20"/>
          <w:szCs w:val="20"/>
        </w:rPr>
        <w:t>Editorial Note:</w:t>
      </w:r>
      <w:r w:rsidRPr="00B22F92">
        <w:rPr>
          <w:rFonts w:ascii="Arial" w:hAnsi="Arial" w:cs="Arial"/>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appear in the sixth sentence of paragraph (h). </w:t>
      </w:r>
    </w:p>
    <w:p w:rsidR="00B22F92" w:rsidRPr="00B22F92" w:rsidRDefault="008B0C90" w:rsidP="00B22F92">
      <w:pPr>
        <w:pStyle w:val="fp"/>
        <w:rPr>
          <w:rFonts w:ascii="Arial" w:hAnsi="Arial" w:cs="Arial"/>
          <w:sz w:val="20"/>
          <w:szCs w:val="20"/>
        </w:rPr>
      </w:pPr>
      <w:hyperlink r:id="rId44" w:anchor="_top" w:history="1">
        <w:r w:rsidR="00B22F92" w:rsidRPr="00B22F92">
          <w:rPr>
            <w:rFonts w:ascii="Arial" w:hAnsi="Arial" w:cs="Arial"/>
            <w:noProof/>
            <w:color w:val="0000FF"/>
            <w:sz w:val="20"/>
            <w:szCs w:val="20"/>
          </w:rPr>
          <w:drawing>
            <wp:inline distT="0" distB="0" distL="0" distR="0">
              <wp:extent cx="156845" cy="156845"/>
              <wp:effectExtent l="0" t="0" r="0" b="0"/>
              <wp:docPr id="11" name="Picture 11"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5" w:name="40:7.0.1.1.1.1.151.14"/>
      <w:bookmarkEnd w:id="15"/>
      <w:r w:rsidRPr="00B22F92">
        <w:rPr>
          <w:rFonts w:ascii="Arial" w:hAnsi="Arial" w:cs="Arial"/>
          <w:sz w:val="20"/>
          <w:szCs w:val="20"/>
        </w:rPr>
        <w:t>§60.14   Modification.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Emission rate shall be expressed as kg/hr of any pollutant discharged into the atmosphere for which a standard is applicable. The Administrator shall use the following to determine emission rate: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(d) [Reserved]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 The following shall not, by themselves, be considered modifications under this 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Maintenance, repair, and replacement which the Administrator determines to be routine for a source category, subject to the provisions of paragraph (c) of this section and §60.15.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An increase in production rate of an existing facility, if that increase can be accomplished without a capital expenditure on that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An increase in the hours of operation.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The relocation or change in ownership of an existing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(f) Special provisions set forth under an applicable subpart of this part shall supersede any conflicting provisions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(g) Within 180 days of the completion of any physical or operational change subject to the control measures specified in paragraph (a) of this section, compliance with all applicable standards must be achieved.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This exemption shall not apply to any new unit that: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 Is designated as a replacement for an existing unit;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Qualifies under section 409(b) of the Clean Air Act for an extension of an emission limitation compliance date under section 405 of the Clean Air Act; and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(iii) Is located at a different site than the existing unit.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(k) The installation, operation, cessation, or removal of a temporary clean coal technology demonstration project is exempt from the requirements of this section. A </w:t>
      </w:r>
      <w:r w:rsidRPr="00B22F92">
        <w:rPr>
          <w:rFonts w:ascii="Arial" w:hAnsi="Arial" w:cs="Arial"/>
          <w:i/>
          <w:iCs/>
          <w:sz w:val="20"/>
          <w:szCs w:val="20"/>
        </w:rPr>
        <w:t>temporary clean coal control technology demonstration project,</w:t>
      </w:r>
      <w:r w:rsidRPr="00B22F92">
        <w:rPr>
          <w:rFonts w:ascii="Arial" w:hAnsi="Arial" w:cs="Arial"/>
          <w:sz w:val="20"/>
          <w:szCs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(l) The reactivation of a very clean coal-fired electric utility steam generating unit is exempt from the requirements of this section.</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[40 FR 58419, Dec. 16, 1975, as amended at 43 FR 34347, Aug. 3, 1978; 45 FR 5617, Jan. 23, 1980; 57 FR 32339, July 21, 1992; 65 FR 61750, Oct. 17, 2000]</w:t>
      </w:r>
    </w:p>
    <w:p w:rsidR="00B22F92" w:rsidRPr="00B22F92" w:rsidRDefault="008B0C90" w:rsidP="00B22F92">
      <w:pPr>
        <w:pStyle w:val="fp"/>
        <w:rPr>
          <w:rFonts w:ascii="Arial" w:hAnsi="Arial" w:cs="Arial"/>
          <w:sz w:val="20"/>
          <w:szCs w:val="20"/>
        </w:rPr>
      </w:pPr>
      <w:hyperlink r:id="rId45" w:anchor="_top" w:history="1">
        <w:r w:rsidR="00B22F92" w:rsidRPr="00B22F92">
          <w:rPr>
            <w:rFonts w:ascii="Arial" w:hAnsi="Arial" w:cs="Arial"/>
            <w:noProof/>
            <w:color w:val="0000FF"/>
            <w:sz w:val="20"/>
            <w:szCs w:val="20"/>
          </w:rPr>
          <w:drawing>
            <wp:inline distT="0" distB="0" distL="0" distR="0">
              <wp:extent cx="156845" cy="156845"/>
              <wp:effectExtent l="0" t="0" r="0" b="0"/>
              <wp:docPr id="10" name="Picture 10"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6" w:name="40:7.0.1.1.1.1.151.15"/>
      <w:bookmarkEnd w:id="16"/>
      <w:r w:rsidRPr="00B22F92">
        <w:rPr>
          <w:rFonts w:ascii="Arial" w:hAnsi="Arial" w:cs="Arial"/>
          <w:sz w:val="20"/>
          <w:szCs w:val="20"/>
        </w:rPr>
        <w:t>§60.15   Reconstruction.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(a) An existing facility, upon reconstruction, becomes an affected facility, irrespective of any change in emission rate.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“Reconstruction” means the replacement of components of an existing facility to such an extent that: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The fixed capital cost of the new components exceeds 50 percent of the fixed capital cost that would be required to construct a comparable entirely new facility, and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It is technologically and economically feasible to meet the applicable standards set forth in this 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“Fixed capital cost” means the capital needed to provide all the depreciable components.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Name and address of the owner or operator.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The location of the existing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A brief description of the existing facility and the components which are to be replaced.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A description of the existing air pollution control equipment and the proposed air pollution control equipment.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An estimate of the fixed capital cost of the replacements and of constructing a comparable entirely new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The estimated life of the existing facility after the replacements.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(7) A discussion of any economic or technical limitations the facility may have in complying with the applicable standards of performance after the proposed replacements.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(f) The Administrator's determination under paragraph (e) shall be based 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The fixed capital cost of the replacements in comparison to the fixed capital cost that would be required to construct a comparable entirely new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The estimated life of the facility after the replacements compared to the life of a comparable entirely new facility;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(3) The extent to which the components being replaced cause or contribute to the emissions from the facility; and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Any economic or technical limitations on compliance with applicable standards of performance which are inherent in the proposed replacements.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(g) Individual subparts of this part may include specific provisions which refine and delimit the concept of reconstruction set forth in this section.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[40 FR 58420, Dec. 16, 1975]</w:t>
      </w:r>
    </w:p>
    <w:p w:rsidR="00B22F92" w:rsidRPr="00B22F92" w:rsidRDefault="008B0C90" w:rsidP="00B22F92">
      <w:pPr>
        <w:pStyle w:val="fp"/>
        <w:rPr>
          <w:rFonts w:ascii="Arial" w:hAnsi="Arial" w:cs="Arial"/>
          <w:sz w:val="20"/>
          <w:szCs w:val="20"/>
        </w:rPr>
      </w:pPr>
      <w:hyperlink r:id="rId46" w:anchor="_top" w:history="1">
        <w:r w:rsidR="00B22F92" w:rsidRPr="00B22F92">
          <w:rPr>
            <w:rFonts w:ascii="Arial" w:hAnsi="Arial" w:cs="Arial"/>
            <w:noProof/>
            <w:color w:val="0000FF"/>
            <w:sz w:val="20"/>
            <w:szCs w:val="20"/>
          </w:rPr>
          <w:drawing>
            <wp:inline distT="0" distB="0" distL="0" distR="0">
              <wp:extent cx="156845" cy="156845"/>
              <wp:effectExtent l="0" t="0" r="0" b="0"/>
              <wp:docPr id="9" name="Picture 9"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7" w:name="40:7.0.1.1.1.1.151.16"/>
      <w:bookmarkEnd w:id="17"/>
      <w:r w:rsidRPr="00B22F92">
        <w:rPr>
          <w:rFonts w:ascii="Arial" w:hAnsi="Arial" w:cs="Arial"/>
          <w:sz w:val="20"/>
          <w:szCs w:val="20"/>
        </w:rPr>
        <w:t>§60.16   Priority list.</w:t>
      </w:r>
    </w:p>
    <w:p w:rsidR="00B22F92" w:rsidRPr="00B22F92" w:rsidRDefault="00B22F92" w:rsidP="00B22F92">
      <w:pPr>
        <w:pStyle w:val="gpotbltitle"/>
        <w:jc w:val="left"/>
        <w:rPr>
          <w:rFonts w:ascii="Arial" w:hAnsi="Arial" w:cs="Arial"/>
          <w:sz w:val="20"/>
          <w:szCs w:val="20"/>
        </w:rPr>
      </w:pPr>
      <w:r w:rsidRPr="00B22F92">
        <w:rPr>
          <w:rFonts w:ascii="Arial" w:hAnsi="Arial" w:cs="Arial"/>
          <w:sz w:val="20"/>
          <w:szCs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43"/>
        <w:gridCol w:w="8047"/>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Style w:val="Emphasis"/>
                <w:rFonts w:ascii="Arial" w:hAnsi="Arial" w:cs="Arial"/>
                <w:b/>
                <w:bCs/>
                <w:sz w:val="20"/>
                <w:szCs w:val="20"/>
              </w:rPr>
              <w:t>Priority Number</w:t>
            </w:r>
            <w:r w:rsidRPr="00B22F92">
              <w:rPr>
                <w:rFonts w:ascii="Arial" w:hAnsi="Arial" w:cs="Arial"/>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Style w:val="Emphasis"/>
                <w:rFonts w:ascii="Arial" w:hAnsi="Arial" w:cs="Arial"/>
                <w:b/>
                <w:bCs/>
                <w:sz w:val="20"/>
                <w:szCs w:val="20"/>
              </w:rPr>
              <w:t>Source Category</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Synthetic Organic Chemical Manufacturing Industry (SOCMI) and Volatile Organic Liquid Storage Vessels and Handling Equipment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(a) SOCMI unit processes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(b) Volatile organic liquid (VOL) storage vessels and handling equipment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(c) SOCMI fugitive sources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(d) SOCMI secondary sources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Cans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Refineries: Fugitive Sources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Paper</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Dry Cleaning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 Perchloroethylene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 Petroleum solvent</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Graphic Arts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Acrylic Resins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Mineral Wool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Internal Combustion Engines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Fabric</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Industrial-Commercial-Institutional Steam Generating Units.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Incineration: Non-Municipal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Non-Metallic Mineral Processing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Metallic Mineral Processing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Copper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Phosphate Rock Preparation</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Foundries: Steel and Gray Iron</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Polyethylene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Charcoal Production</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Rubber</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 Tire manufacture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 SBR production</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Vegetable Oil</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22.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Metal Coil</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Petroleum Transportation and Marketing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By-Product Coke Ovens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Synthetic Fibers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Plywood Manufacture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Automobiles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Large Appliances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Crude Oil and Natural Gas Production</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Aluminum</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Potash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Lightweight Aggregate Industry: Clay, Shale, and Slate</w:t>
            </w:r>
            <w:r w:rsidRPr="00B22F92">
              <w:rPr>
                <w:rFonts w:ascii="Arial" w:hAnsi="Arial" w:cs="Arial"/>
                <w:sz w:val="20"/>
                <w:szCs w:val="20"/>
                <w:vertAlign w:val="superscript"/>
              </w:rPr>
              <w:t>2</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Glass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Gypsum</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Sodium Carbonate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Secondary Zinc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Phenolic</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Urea-Melamine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Ammonia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Polystyrene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lastRenderedPageBreak/>
              <w:t>41.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ABS-SAN Resins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Fiberglass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Polypropylene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Textile Processing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Asphalt Processing and Asphalt Roofing Manufacture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Brick and Related Clay Products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Ceramic Clay Manufacturing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Nitrate Fertilizer</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Castable Refractories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Borax and Boric Acid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Polymers and Resins: Polyester Resins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Ammonium Sulfate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Starch</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Perlite</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Phosphoric Acid: Thermal Process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Uranium Refining</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Animal Feed Defluorination (Deleted)</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Urea (for fertilizer and polymers)</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Detergent (Deleted)</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Style w:val="Emphasis"/>
                <w:rFonts w:ascii="Arial" w:hAnsi="Arial" w:cs="Arial"/>
                <w:sz w:val="20"/>
                <w:szCs w:val="20"/>
              </w:rPr>
              <w:lastRenderedPageBreak/>
              <w:t>Other Source Categories</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Lead acid battery manufacture</w:t>
            </w:r>
            <w:r w:rsidRPr="00B22F92">
              <w:rPr>
                <w:rFonts w:ascii="Arial" w:hAnsi="Arial" w:cs="Arial"/>
                <w:sz w:val="20"/>
                <w:szCs w:val="20"/>
                <w:vertAlign w:val="superscript"/>
              </w:rPr>
              <w:t>3</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Organic solvent cleaning</w:t>
            </w:r>
            <w:r w:rsidRPr="00B22F92">
              <w:rPr>
                <w:rFonts w:ascii="Arial" w:hAnsi="Arial" w:cs="Arial"/>
                <w:sz w:val="20"/>
                <w:szCs w:val="20"/>
                <w:vertAlign w:val="superscript"/>
              </w:rPr>
              <w:t>3</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Industrial surface coating: metal furniture</w:t>
            </w:r>
            <w:r w:rsidRPr="00B22F92">
              <w:rPr>
                <w:rFonts w:ascii="Arial" w:hAnsi="Arial" w:cs="Arial"/>
                <w:sz w:val="20"/>
                <w:szCs w:val="20"/>
                <w:vertAlign w:val="superscript"/>
              </w:rPr>
              <w:t>3</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Stationary gas turbines</w:t>
            </w:r>
            <w:r w:rsidRPr="00B22F92">
              <w:rPr>
                <w:rFonts w:ascii="Arial" w:hAnsi="Arial" w:cs="Arial"/>
                <w:sz w:val="20"/>
                <w:szCs w:val="20"/>
                <w:vertAlign w:val="superscript"/>
              </w:rPr>
              <w:t>4</w:t>
            </w:r>
          </w:p>
        </w:tc>
      </w:tr>
      <w:tr w:rsidR="00B22F92" w:rsidRPr="00B22F92" w:rsidTr="00B22F9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Municipal solid waste landfills</w:t>
            </w:r>
            <w:r w:rsidRPr="00B22F92">
              <w:rPr>
                <w:rFonts w:ascii="Arial" w:hAnsi="Arial" w:cs="Arial"/>
                <w:sz w:val="20"/>
                <w:szCs w:val="20"/>
                <w:vertAlign w:val="superscript"/>
              </w:rPr>
              <w:t>4</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p>
        </w:tc>
      </w:tr>
    </w:tbl>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1</w:t>
      </w:r>
      <w:r w:rsidRPr="00B22F92">
        <w:rPr>
          <w:rFonts w:ascii="Arial" w:hAnsi="Arial" w:cs="Arial"/>
          <w:sz w:val="20"/>
          <w:szCs w:val="20"/>
        </w:rPr>
        <w:t>Low numbers have highest priority, e.g., No. 1 is high priority, No. 59 is low priority.</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2</w:t>
      </w:r>
      <w:r w:rsidRPr="00B22F92">
        <w:rPr>
          <w:rFonts w:ascii="Arial" w:hAnsi="Arial" w:cs="Arial"/>
          <w:sz w:val="20"/>
          <w:szCs w:val="20"/>
        </w:rPr>
        <w:t>Formerly titled “Sintering: Clay and Fly Ash”.</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3</w:t>
      </w:r>
      <w:r w:rsidRPr="00B22F92">
        <w:rPr>
          <w:rFonts w:ascii="Arial" w:hAnsi="Arial" w:cs="Arial"/>
          <w:sz w:val="20"/>
          <w:szCs w:val="20"/>
        </w:rPr>
        <w:t>Minor source category, but included on list since an NSPS is being developed for that source category.</w:t>
      </w:r>
    </w:p>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4</w:t>
      </w:r>
      <w:r w:rsidRPr="00B22F92">
        <w:rPr>
          <w:rFonts w:ascii="Arial" w:hAnsi="Arial" w:cs="Arial"/>
          <w:sz w:val="20"/>
          <w:szCs w:val="20"/>
        </w:rPr>
        <w:t>Not prioritized, since an NSPS for this major source category has already been promulgated.</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[47 FR 951, Jan. 8, 1982, as amended at 47 FR 31876, July 23, 1982; 51 FR 42796, Nov. 25, 1986; 52 FR 11428, Apr. 8, 1987; 61 FR 9919, Mar. 12, 1996] </w:t>
      </w:r>
    </w:p>
    <w:p w:rsidR="00B22F92" w:rsidRPr="00B22F92" w:rsidRDefault="008B0C90" w:rsidP="00B22F92">
      <w:pPr>
        <w:pStyle w:val="fp"/>
        <w:rPr>
          <w:rFonts w:ascii="Arial" w:hAnsi="Arial" w:cs="Arial"/>
          <w:sz w:val="20"/>
          <w:szCs w:val="20"/>
        </w:rPr>
      </w:pPr>
      <w:hyperlink r:id="rId47" w:anchor="_top" w:history="1">
        <w:r w:rsidR="00B22F92" w:rsidRPr="00B22F92">
          <w:rPr>
            <w:rFonts w:ascii="Arial" w:hAnsi="Arial" w:cs="Arial"/>
            <w:noProof/>
            <w:color w:val="0000FF"/>
            <w:sz w:val="20"/>
            <w:szCs w:val="20"/>
          </w:rPr>
          <w:drawing>
            <wp:inline distT="0" distB="0" distL="0" distR="0">
              <wp:extent cx="156845" cy="156845"/>
              <wp:effectExtent l="0" t="0" r="0" b="0"/>
              <wp:docPr id="8" name="Picture 8"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8" w:name="40:7.0.1.1.1.1.151.17"/>
      <w:bookmarkEnd w:id="18"/>
      <w:r w:rsidRPr="00B22F92">
        <w:rPr>
          <w:rFonts w:ascii="Arial" w:hAnsi="Arial" w:cs="Arial"/>
          <w:sz w:val="20"/>
          <w:szCs w:val="20"/>
        </w:rPr>
        <w:t>§60.17   Incorporations by reference.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B22F92">
        <w:rPr>
          <w:rFonts w:ascii="Arial" w:hAnsi="Arial" w:cs="Arial"/>
          <w:smallCaps/>
          <w:sz w:val="20"/>
          <w:szCs w:val="20"/>
        </w:rPr>
        <w:t>Federal Register</w:t>
      </w:r>
      <w:r w:rsidRPr="00B22F92">
        <w:rPr>
          <w:rFonts w:ascii="Arial" w:hAnsi="Arial" w:cs="Arial"/>
          <w:sz w:val="20"/>
          <w:szCs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 741-6030 or go to </w:t>
      </w:r>
      <w:r w:rsidRPr="00B22F92">
        <w:rPr>
          <w:rFonts w:ascii="Arial" w:hAnsi="Arial" w:cs="Arial"/>
          <w:i/>
          <w:iCs/>
          <w:sz w:val="20"/>
          <w:szCs w:val="20"/>
        </w:rPr>
        <w:t>http://www.archives.gov/federal_register/code_of_federal_regulations/ibr_locations.html.</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American Gas Association, available through ILI Infodisk, 610 Winters Avenue, Paramus, New Jersey 07652: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 American Gas Association Report No. 3: Orifice Metering for Natural Gas and Other Related Hydrocarbon Fluids, Part 1: General Equations and Uncertainty Guidelines (1990),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American Gas Association Report No. 3: Orifice Metering for Natural Gas and Other Related Hydrocarbon Fluids, Part 2: Specification and Installation Requirements (2000),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American Gas Association Report No. 11: Measurement of Natural Gas by Coriolis Meter (2003),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American Gas Association Transmission Measurement Committee Report No. 7: Measurement of Gas by Turbine Meters (Revised February 2006),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(d) American Petroleum Institute (API), 1220 L Street NW., Washington, DC 20005.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API Publication 2517, Evaporation Loss from External Floating Roof Tanks, Second Edition, February 1980, IBR approved for §§60.111(i), 60.111a(f), and 60.116b(e).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API Manual of Petroleum Measurement Standards, Chapter 22—Testing Protocol, Section 2—Differential Pressure Flow Measurement Devices, First Edition, August 2005,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(e) American Public Health Association, 1015 18th Street NW., Washington, DC 20036.</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“Standard Methods for the Examination of Water and Wastewater,” 16th edition, 1985. Method 303F: “Determination of Mercury by the Cold Vapor Technique.” Incorporated by reference for appendix A-8 to part 60, Method 29, §§9.2.3, 10.3, and 11.1.3.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2540 G. Total, Fixed, and Volatile Solids in Solid and Semisolid Samples, in Standard Methods for the Examination of Water and Wastewater, 20th Edition, 1998, IBR approved for §60.154(b).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(f) The following material is available for purchase from the American Society of Mechanical Engineers (ASME), Two Park Avenue, New York, NY 10016-5990, Telephone (800) 843-2763, and is also available at the following Web site: </w:t>
      </w:r>
      <w:r w:rsidRPr="00B22F92">
        <w:rPr>
          <w:rFonts w:ascii="Arial" w:hAnsi="Arial" w:cs="Arial"/>
          <w:i/>
          <w:iCs/>
          <w:sz w:val="20"/>
          <w:szCs w:val="20"/>
        </w:rPr>
        <w:t>http://www.asme.org.</w:t>
      </w:r>
      <w:r w:rsidRPr="00B22F92">
        <w:rPr>
          <w:rFonts w:ascii="Arial" w:hAnsi="Arial" w:cs="Arial"/>
          <w:sz w:val="20"/>
          <w:szCs w:val="20"/>
        </w:rPr>
        <w:t xml:space="preserve">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ASME Interim Supplement 19.5 on Instruments and Apparatus: Application, Part II of Fluid Meters, 6th Edition (1971), IBR approved for §§60.58a(h), 60.58b(i), 60.1320(a), and 60.1810(a).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(2) ASME MFC-3M-2004, Measurement of Fluid Flow in Pipes Using Orifice, Nozzle, and Venturi,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ASME/ANSI MFC-4M-1986 (Reaffirmed 2008), Measurement of Gas Flow by Turbine Meters,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ASME/ANSI MFC-5M-1985 (Reaffirmed 2006), Measurement of Liquid Flow in Closed Conduits Using Transit-Time Ultrasonic Flowmeters,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 ASME MFC-6M-1998 (Reaffirmed 2005), Measurement of Fluid Flow in Pipes Using Vortex Flowmeters,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 ASME/ANSI MFC-7M-1987 (Reaffirmed 2006), Measurement of Gas Flow by Means of Critical Flow Venturi Nozzles,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 ASME/ANSI MFC-9M-1988 (Reaffirmed 2006), Measurement of Liquid Flow in Closed Conduits by Weighing Method,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 ASME MFC-11M-2006, Measurement of Fluid Flow by Means of Coriolis Mass Flowmeters,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 ASME MFC-14M-2003, Measurement of Fluid Flow Using Small Bore Precision Orifice Meters,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 ASME MFC-16-2007, Measurement of Liquid Flow in Closed Conduits with Electromagnetic Flowmeters,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 ASME MFC-18M-2001, Measurement of Fluid Flow Using Variable Area Meters,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 ASME MFC-22-2007, Measurement of Liquid by Turbine Flowmeters,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 ASME PTC 4.1-1964 (Reaffirmed 1991), Power Test Codes: Test Code for Steam Generating Units (with 1968 and 1969 Addenda), IBR approved for §§60.46b, 60.58a(h), 60.58b(i), 60.1320(a), and 60.1810(a).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and 60.5413(b).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 ASME QRO-1-1994, Standard for the Qualification and Certification of Resource Recovery Facility Operators, IBR approved for §§60.54b(a) and (b), 60.56a, 60.1185(a) and (c), and 60.1675(a) and (c).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(g) American Society for Testing and Materials (ASTM), 100 Barr Harbor Drive, Post Office Box C700, West Conshohocken, PA 19428-2959; also available through ProQuest, 300 North Zeeb Road, Ann Arbor, MI 48106.</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ASTM A99-76, Standard Specification for Ferromanganese,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ASTM A99-82 (Reapproved 1987), Standard Specification for Ferromanganese,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ASTM A100-69, Standard Specification for Ferrosilicon,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ASTM A100-74, Standard Specification for Ferrosilicon,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 ASTM A100-93, Standard Specification for Ferrosilicon,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 ASTM A101-73, Standard Specification for Ferrochromium,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 ASTM A101-93, Standard Specification for Ferrochromium,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 ASTM A482-76, Standard Specification for Ferrochromesilicon,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 ASTM A482-93, Standard Specification for Ferrochromesilicon,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 ASTM A483-64, Standard Specification for Silicomanganese,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 ASTM A483-74 (Reapproved 1988), Standard Specification for Silicomanganese,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 ASTM A495-76, Standard Specification for Calcium-Silicon and Calcium Manganese-Silicon,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 ASTM A495-94, Standard Specification for Calcium-Silicon and Calcium Manganese-Silicon, IBR approved for §60.261.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 ASTM D86-78, Distillation of Petroleum Products, IBR approved for §§60.562-2(d), 60.593(d), 60.593a(d), 60.633(h).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 ASTM D86-82, Distillation of Petroleum Products, IBR approved for §§60.562-2(d), 60.593(d), 60.593a(d), 60.633(h).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 ASTM D86-90, Distillation of Petroleum Products, IBR approved for §§60.562-2(d), 60.593(d), 60.593a(d), 60.633(h).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 ASTM D86-93, Distillation of Petroleum Products, IBR approved for §§60.562-2(d), 60.593(d), 60.593a(d), 60.633(h).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 ASTM D86-95, Distillation of Petroleum Products, IBR approved for §§60.562-2(d), 60.593(d), 60.593a(d), 60.633(h).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(19) ASTM D86-96, Distillation of Petroleum Products, (Approved April 10, 1996), IBR approved for §§60.562-2(d), 60.593(d), 60.593a(d), 60.633(h), and 60.5401(f).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(20) ASTM D129-64, Standard Test Method for Sulfur in Petroleum Products (General Bomb Method), IBR approved for §§60.106(j)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(21) ASTM D129-78, Standard Test Method for Sulfur in Petroleum Products (General Bomb Method), IBR approved for §§60.106(j)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(22) ASTM D129-95, Standard Test Method for Sulfur in Petroleum Products (General Bomb Method), IBR approved for §§60.106(j)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(23) ASTM D129-00, Standard Test Method for Sulfur in Petroleum Products (General Bomb Method),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(24) ASTM D129-00 (Reapproved 2005), Standard Test Method for Sulfur in Petroleum Products (General Bomb Method),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(25) ASTM D240-76, Standard Test Method for Heat of Combustion of Liquid Hydrocarbon Fuels by Bomb Calorimeter, IBR approved for §§60.46(c), 60.296(b),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(26) ASTM D240-92, Standard Test Method for Heat of Combustion of Liquid Hydrocarbon Fuels by Bomb Calorimeter, IBR approved for §§60.46(c), 60.296(b), and appendix A-7: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(27) ASTM D240-02 (Reapproved 2007), Standard Test Method for Heat of Combustion of Liquid Hydrocarbon Fuels by Bomb Calorimeter, (Approved May 1, 2007),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(28) ASTM D270-65, Standard Method of Sampling Petroleum and Petroleum Products, IBR approved for appendix A-7 to part 60: Method 19, Section 12.5.2.2.1.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(29) ASTM D270-75, Standard Method of Sampling Petroleum and Petroleum Products, IBR approved for appendix A-7 to part 60: Method 19, Section 12.5.2.2.1.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(30) ASTM D323-82, Test Method for Vapor Pressure of Petroleum Products (Reid Method), IBR approved for §§60.111(l), 60.111a(g), 60.111b, and 60.116b(f).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(31) ASTM D323-94, Test Method for Vapor Pressure of Petroleum Products (Reid Method), IBR approved for §§60.111(l), 60.111a(g), 60.111b, and 60.116b(f).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(32) ASTM D388-77,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(33) ASTM D388-90,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(34) ASTM D388-91,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(35) ASTM D388-95,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(36) ASTM D388-98a,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(37) ASTM D388-99 (Reapproved 2004)</w:t>
      </w:r>
      <w:r w:rsidRPr="00B22F92">
        <w:rPr>
          <w:rFonts w:ascii="Arial" w:hAnsi="Arial" w:cs="Arial"/>
          <w:sz w:val="20"/>
          <w:szCs w:val="20"/>
          <w:vertAlign w:val="superscript"/>
        </w:rPr>
        <w:t>ε</w:t>
      </w:r>
      <w:r w:rsidRPr="00B22F92">
        <w:rPr>
          <w:rFonts w:ascii="Arial" w:hAnsi="Arial" w:cs="Arial"/>
          <w:sz w:val="20"/>
          <w:szCs w:val="20"/>
        </w:rPr>
        <w:t>,</w:t>
      </w:r>
      <w:r w:rsidRPr="00B22F92">
        <w:rPr>
          <w:rStyle w:val="su1"/>
          <w:rFonts w:ascii="Arial" w:hAnsi="Arial" w:cs="Arial"/>
          <w:sz w:val="20"/>
          <w:szCs w:val="20"/>
        </w:rPr>
        <w:t>1</w:t>
      </w:r>
      <w:r w:rsidRPr="00B22F92">
        <w:rPr>
          <w:rFonts w:ascii="Arial" w:hAnsi="Arial" w:cs="Arial"/>
          <w:sz w:val="20"/>
          <w:szCs w:val="20"/>
        </w:rPr>
        <w:t xml:space="preserve"> Standard Specification for Classification of Coals by Rank, IBR approved for §§60.41, 60.45(f), 60.41Da, 60.41b, 60.41c, and 60.251.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(38) ASTM D396-78, Standard Specification for Fuel Oils, IBR approved for §§60.41b, 60.41c, 60.111(b), and 60.111a(b).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(39) ASTM D396-89, Standard Specification for Fuel Oils, IBR approved for §§60.41b, 60.41c, 60.111(b), and 60.111a(b).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(40) ASTM D396-90, Standard Specification for Fuel Oils, IBR approved for §§60.41b, 60.41c, 60.111(b), and 60.111a(b).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(41) ASTM D396-92, Standard Specification for Fuel Oils, IBR approved for §§60.41b, 60.41c, 60.111(b), and 60.111a(b).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(42) ASTM D396-98, Standard Specification for Fuel Oils, IBR approved for §§60.41b, 60.41c, 60.111(b), and 60.111a(b).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(43) ASTM D975-78, Standard Specification for Diesel Fuel Oils, IBR approved for §§60.111(b) and 60.111a(b).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(44) ASTM D975-96, Standard Specification for Diesel Fuel Oils, IBR approved for §§60.111(b) and 60.111a(b).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(45) ASTM D975-98a, Standard Specification for Diesel Fuel Oils, IBR approved for §§60.111(b) and 60.111a(b).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(46) ASTM D975-08a, Standard Specification for Diesel Fuel Oils, IBR approved for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(47) ASTM D1072-80, Standard Test Method for Total Sulfur in Fuel Gases,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(48) ASTM D1072-90 (Reapproved 1994), Standard Test Method for Total Sulfur in Fuel Gases,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(49) ASTM D1072-90 (Reapproved 1999), Standard Test Method for Total Sulfur in Fuel Gases,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(50) ASTM D1137-53, Standard Method for Analysis of Natural Gases and Related Types of Gaseous Mixtures by the Mass Spectrometer,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(51) ASTM D1137-75, Standard Method for Analysis of Natural Gases and Related Types of Gaseous Mixtures by the Mass Spectrometer,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(54) ASTM D1266-87, Standard Test Method for Sulfur in Petroleum Products (Lamp Method),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(55) ASTM D1266-91, Standard Test Method for Sulfur in Petroleum Products (Lamp Method),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(56) ASTM D1266-98, Standard Test Method for Sulfur in Petroleum Products (Lamp Method),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(57) ASTM D1266-98 (Reapproved 2003)</w:t>
      </w:r>
      <w:r w:rsidRPr="00B22F92">
        <w:rPr>
          <w:rFonts w:ascii="Arial" w:hAnsi="Arial" w:cs="Arial"/>
          <w:sz w:val="20"/>
          <w:szCs w:val="20"/>
          <w:vertAlign w:val="superscript"/>
        </w:rPr>
        <w:t>ε</w:t>
      </w:r>
      <w:r w:rsidRPr="00B22F92">
        <w:rPr>
          <w:rFonts w:ascii="Arial" w:hAnsi="Arial" w:cs="Arial"/>
          <w:sz w:val="20"/>
          <w:szCs w:val="20"/>
        </w:rPr>
        <w:t>,</w:t>
      </w:r>
      <w:r w:rsidRPr="00B22F92">
        <w:rPr>
          <w:rStyle w:val="su1"/>
          <w:rFonts w:ascii="Arial" w:hAnsi="Arial" w:cs="Arial"/>
          <w:sz w:val="20"/>
          <w:szCs w:val="20"/>
        </w:rPr>
        <w:t>1</w:t>
      </w:r>
      <w:r w:rsidRPr="00B22F92">
        <w:rPr>
          <w:rFonts w:ascii="Arial" w:hAnsi="Arial" w:cs="Arial"/>
          <w:sz w:val="20"/>
          <w:szCs w:val="20"/>
        </w:rPr>
        <w:t xml:space="preserve"> Standard Test Method for Sulfur in Petroleum Products (Lamp Method),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(58) ASTM D1475-60 (Reapproved 1980), Standard Test Method for Density of Paint, Varnish Lacquer, and Related Products, IBR approved for §60.435(d), appendix A-8 to part 60: Method 24, Section 6.1; and Method 24A, Sections 6.5 and 7.1.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(59) ASTM D1475-90, Standard Test Method for Density of Paint, Varnish Lacquer, and Related Products, IBR approved for §60.435(d), appendix A-8 to part 60: Method 24, Section 6.1; and Method 24A, §§6.5 and 7.1.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(60) ASTM D1552-83, Standard Test Method for Sulfur in Petroleum Products (High-Temperature Method), IBR approved for §§60.106(j), 60.335(b),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(61) ASTM D1552-95, Standard Test Method for Sulfur in Petroleum Products (High-Temperature Method), IBR approved for §§60.106(j), 60.335(b),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(62) ASTM D1552-01, Standard Test Method for Sulfur in Petroleum Products (High-Temperature Method), IBR approved for §§60.106(j), 60.335(b), and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(63) ASTM D1552-03, Standard Test Method for Sulfur in Petroleum Products (High-Temperature Method),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(64) ASTM D1826-77, Standard Test Method for Calorific Value of Gases in Natural Gas Range by Continuous Recording Calorimeter, IBR approved for §§60.45(f), 60.46(c), 60.296(b), and appendix A-7 to part 60: Method 19, Section 12.3.2.4.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(65) ASTM D1826-94, Standard Test Method for Calorific Value of Gases in Natural Gas Range by Continuous Recording Calorimeter, IBR approved for §§60.45(f), 60.46(c), 60.296(b), and appendix A-7 to part 60: Method 19, Section 12.3.2.4.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(66) ASTM D1826-94 (Reapproved 2003), Standard Test Method for Calorific (Heating) Value of Gases in Natural Gas Range by Continuous Recording Calorimeter, (Approved May 10, 2003),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(67) ASTM D1835-87, Standard Specification for Liquefied Petroleum (LP) Gases, IBR approved for §§60.41Da,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(68) ASTM D1835-91, Standard Specification for Liquefied Petroleum (LP) Gases, IBR approved for §§60.41Da,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(69) ASTM D1835-97, Standard Specification for Liquefied Petroleum (LP) Gases, IBR approved for §§60.41Da,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(70) ASTM D1835-03a, Standard Specification for Liquefied Petroleum (LP) Gases, IBR approved for §§60.41Da,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(71) ASTM D1945-64, Standard Method for Analysis of Natural Gas by Gas Chromatography,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(72) ASTM D1945-76, Standard Method for Analysis of Natural Gas by Gas Chromatography,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(73) ASTM D1945-91, Standard Method for Analysis of Natural Gas by Gas Chromatography,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(74) ASTM D1945-96, Standard Method for Analysis of Natural Gas by Gas Chromatography,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(75) ASTM D1945-03 (Reapproved 2010), Standard Method for Analysis of Natural Gas by Gas Chromatography, (Approved January 1, 2010), IBR approved for §§60.107a(d) and 60.5413(d).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(76) ASTM D1946-77, Standard Method for Analysis of Reformed Gas by Gas Chromatography, IBR approved for §§60.18(f), 60.45(f), 60.564(f), 60.614(e), 60.664(e), and 60.704(d).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(77) ASTM D1946-90 (Reapproved 1994), Standard Method for Analysis of Reformed Gas by Gas Chromatography, IBR approved for §§60.18(f), 60.45(f), 60.564(f), 60.614(e), 60.664(e), and 60.704(d).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(78) ASTM D1946-90 (Reapproved 2006), Standard Method for Analysis of Reformed Gas by Gas Chromatography, (Approved June 1, 2006),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(79) ASTM D2013-72, Standard Method of Preparing Coal Samples for Analysis,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(80) ASTM D2013-86, Standard Method of Preparing Coal Samples for Analysis,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(81) ASTM D2015-77 (Reapproved 1978), Standard Test Method for Gross Calorific Value of Solid Fuel by the Adiabatic Bomb Calorimeter, IBR approved for §§60.45(f), 60.46(c), and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(82) ASTM D2015-96, Standard Test Method for Gross Calorific Value of Solid Fuel by the Adiabatic Bomb Calorimeter, IBR approved for §§60.45(f), 60.46(c), and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(83) ASTM D2016-74, Standard Test Methods for Moisture Content of Wood, IBR approved for appendix A-8 to part 60: Method 28, Section 16.1.1.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(84) ASTM D2016-83, Standard Test Methods for Moisture Content of Wood, IBR approved for appendix A-8 to part 60: Method 28, Section 16.1.1.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(85) ASTM D2234-76, Standard Methods for Collection of a Gross Sample of Coal, IBR approved for appendix A-7 to part 60: Method 19, Section 12.5.2.1.1.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(86) ASTM D2234-96, Standard Methods for Collection of a Gross Sample of Coal, IBR approved for appendix A-7 to part 60: Method 19, Section 12.5.2.1.1.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(87) ASTM D2234-97b, Standard Methods for Collection of a Gross Sample of Coal, IBR approved for appendix A-7 to part 60: Method 19, Section 12.5.2.1.1.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(88) ASTM D2234-98, Standard Methods for Collection of a Gross Sample of Coal, IBR approved for appendix A-7 to part 60: Method 19, Section 12.5.2.1.1.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(89) ASTM D2369-81,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(90) ASTM D2369-87,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(91) ASTM D2369-90,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(92) ASTM D2369-92,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(93) ASTM D2369-93,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(94) ASTM D2369-95, Standard Test Method for Volatile Content of Coatings, IBR approved for appendix A-8 to part 60: Method 24, Section 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(95) ASTM D2382-76, Heat of Combustion of Hydrocarbon Fuels by Bomb Calorimeter (High-Precision Method), IBR approved for §§60.18(f), 60.485(g), 60.485a(g), 60.564(f), 60.614(e), 60.664(e), and 60.704(d).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(96) ASTM D2382-88, Heat of Combustion of Hydrocarbon Fuels by Bomb Calorimeter (High-Precision Method), IBR approved for §§60.18(f), 60.485(g), 60.485a(g), 60.564(f), 60.614(e), 60.664(e), and 60.704(d).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(97) ASTM D2504-67, Noncondensable Gases in C3 and Lighter Hydrocarbon Products by Gas Chromatography, IBR approved for §§60.485(g) and 60.485a(g).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(98) ASTM D2504-77, Noncondensable Gases in C3 and Lighter Hydrocarbon Products by Gas Chromatography, IBR approved for §§60.485(g) and 60.485a(g).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(99) ASTM D2504-88 (Reapproved 1993), Noncondensable Gases in C3 and Lighter Hydrocarbon Products by Gas Chromatography, IBR approved for §§60.485(g) and 60.485a(g).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(100) ASTM D2584-68(Reapproved 1985), Standard Test Method for Ignition Loss of Cured Reinforced Resins, IBR approved for §60.685(c).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(101) ASTM D2584-94, Standard Test Method for Ignition Loss of Cured Reinforced Resins, IBR approved for §60.685(c).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(102) ASTM D2597-94 (Reapproved 1999), Standard Test Method for Analysis of Demethanized Hydrocarbon Liquid Mixtures Containing Nitrogen and Carbon Dioxide by Gas Chromatography,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(103) ASTM D2622-87, Standard Test Method for Sulfur in Petroleum Products by Wavelength Dispersive X-Ray Fluorescence Spectrometry,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(104) ASTM D2622-94, Standard Test Method for Sulfur in Petroleum Products by Wavelength Dispersive X-Ray Fluorescence Spectrometry,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(105) ASTM D2622-98, Standard Test Method for Sulfur in Petroleum Products by Wavelength Dispersive X-Ray Fluorescence Spectrometry, IBR approved for §§60.106(j)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(106) ASTM D2622-05, Standard Test Method for Sulfur in Petroleum Products by Wavelength Dispersive X-Ray Fluorescence Spectrometry,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(107) ASTM D2879-83Test Method for Vapor Pressure-Temperature Relationship and Initial Decomposition Temperature of Liquids by Isoteniscope, IBR approved for §§60.111b(f)(3), 60.116b(e), 60.116b(f), 60.485(e), and 60.485a(e).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(108) ASTM D2879-96, Test Method for Vapor Pressure-Temperature Relationship and Initial Decomposition Temperature of Liquids by Isoteniscope, IBR approved for §§60.111b(f)(3), 60.116b(e), 60.116b(f), 60.485(e), and 60.485a(e).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(109) ASTM D2879-97, Test Method for Vapor Pressure-Temperature Relationship and Initial Decomposition Temperature of Liquids by Isoteniscope, IBR approved for §§60.111b(f)(3), 60.116b(e), 60.116b(f), 60.485(e), and 60.485a(e).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(110) ASTM D2880-78, Standard Specification for Gas Turbine Fuel Oils, IBR approved for §§60.111(b), 60.111a(b), and 60.335(d).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(111) ASTM D2880-96, Standard Specification for Gas Turbine Fuel Oils, IBR approved for §§60.111(b), 60.111a(b), and 60.335(d).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(112) ASTM D2908-74, Standard Practice for Measuring Volatile Organic Matter in Water by Aqueous-Injection Gas Chromatography, IBR approved for §60.564(j).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(113) ASTM D2908-91, Standard Practice for Measuring Volatile Organic Matter in Water by Aqueous-Injection Gas Chromatography, IBR approved for §60.564(j).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(117) ASTM D3173-73, Standard Test Method for Moisture in the Analysis Sample of Coal and Coke,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(118) ASTM D3173-87, Standard Test Method for Moisture in the Analysis Sample of Coal and Coke,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(119) ASTM D3176-74, Standard Method for Ultimate Analysis of Coal and Coke, IBR approved for §60.45(f)(5)(i) and appendix A-7 to part 60: Method 19, Section 12.3.2.3.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(120) ASTM D3176-89, Standard Method for Ultimate Analysis of Coal and Coke, IBR approved for §60.45(f)(5)(i) and appendix A-7 to part 60: Method 19, Section 12.3.2.3.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(121) ASTM D3177-75, Standard Test Method for Total Sulfur in the Analysis Sample of Coal and Coke,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(122) ASTM D3177-89, Standard Test Method for Total Sulfur in the Analysis Sample of Coal and Coke,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(123) ASTM D3178-73 (Reapproved 1979), Standard Test Methods for Carbon and Hydrogen in the Analysis Sample of Coal and Coke,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(124) ASTM D3178-89, Standard Test Methods for Carbon and Hydrogen in the Analysis Sample of Coal and Coke, IBR approved for §60.45(f).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(125) ASTM D3246-81, Standard Test Method for Sulfur in Petroleum Gas by Oxidative Microcoulometry,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(126) ASTM D3246-92, Standard Test Method for Sulfur in Petroleum Gas by Oxidative Microcoulometry,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(127) ASTM D3246-96, Standard Test Method for Sulfur in Petroleum Gas by Oxidative Microcoulometry,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(128) ASTM D3246-05, Standard Test Method for Sulfur in Petroleum Gas by Oxidative Microcoulometry, IBR approved for §60.4415(a)(1).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(129) ASTM D3270-73T, Standard Test Methods for Analysis for Fluoride Content of the Atmosphere and Plant Tissues (Semiautomated Method), IBR approved for appendix A-5 to part 60: Method 13A, Section 16.1.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(130) ASTM D3270-80, Standard Test Methods for Analysis for Fluoride Content of the Atmosphere and Plant Tissues (Semiautomated Method), IBR approved for appendix A-5 to part 60: Method 13A, Section 16.1.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(131) ASTM D3270-91, Standard Test Methods for Analysis for Fluoride Content of the Atmosphere and Plant Tissues (Semiautomated Method), IBR approved for appendix A-5 to part 60: Method 13A, Section 16.1.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(132) ASTM D3270-95, Standard Test Methods for Analysis for Fluoride Content of the Atmosphere and Plant Tissues (Semiautomated Method), IBR approved for appendix A-5 to part 60: Method 13A, Section 16.1.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(133) ASTM D3286-85, Standard Test Method for Gross Calorific Value of Coal and Coke by the Isoperibol Bomb Calorimeter,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(134) ASTM D3286-96, Standard Test Method for Gross Calorific Value of Coal and Coke by the Isoperibol Bomb Calorimeter,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(135) ASTM D3370-76, Standard Practices for Sampling Water, IBR approved for §60.564(j).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(136) ASTM D3370-95a, Standard Practices for Sampling Water, IBR approved for §60.564(j).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(137) ASTM D3588-98 (Reapproved 2003), Standard Practice for Calculating Heat Value, Compressibility Factor, and Relative Density of Gaseous Fuels, (Approved May 10, 2003), IBR approved for §§60.107a(d) and 60.5413(d).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(138) ASTM D3699-08, Standard Specification for Kerosine, including Appendix X1, (Approved September 1, 2008), IBR approved for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(139) ASTM D3792-79, Standard Test Method for Water Content of Water-Reducible Paints by Direct Injection into a Gas Chromatograph, IBR approved for appendix A-7 to part 60: Method 24, Section 6.3.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(140) ASTM D3792-91, Standard Test Method for Water Content of Water-Reducible Paints by Direct Injection into a Gas Chromatograph, IBR approved for appendix A-7 to part 60: Method 24, Section 6.3.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(141) ASTM D4017-81, Standard Test Method for Water in Paints and Paint Materials by the Karl Fischer Titration Method, IBR approved for appendix A-7 to part 60: Method 24, Section 6.4.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(142) ASTM D4017-90, Standard Test Method for Water in Paints and Paint Materials by the Karl Fischer Titration Method, IBR approved for appendix A-7 to part 60: Method 24, Section 6.4.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(143) ASTM D4017-96a, Standard Test Method for Water in Paints and Paint Materials by the Karl Fischer Titration Method, IBR approved for appendix A-7 to part 60: Method 24, Section 6.4.</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(144) ASTM D4057-81, Standard Practice for Manual Sampling of Petroleum and Petroleum Products, IBR approved for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(145) ASTM D4057-95, Standard Practice for Manual Sampling of Petroleum and Petroleum Products, IBR approved for appendix A-7 to part 60: Method 19, Section 12.5.2.2.3.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(146) ASTM D4057-95 (Reapproved 2000), Standard Practice for Manual Sampling of Petroleum and Petroleum Products,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(147) ASTM D4084-82, Standard Test Method for Analysis of Hydrogen Sulfide in Gaseous Fuels (Lead Acetate Reaction Rate Method), IBR approved for §60.334(h).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(148) ASTM D4084-94, Standard Test Method for Analysis of Hydrogen Sulfide in Gaseous Fuels (Lead Acetate Reaction Rate Method), IBR approved for §60.334(h).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(149) ASTM D4084-05, Standard Test Method for Analysis of Hydrogen Sulfide in Gaseous Fuels (Lead Acetate Reaction Rate Method), IBR approved for §§60.4360 and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(150) ASTM D4177-95, Standard Practice for Automatic Sampling of Petroleum and Petroleum Products, IBR approved for appendix A-7 to part 60: Method 19, Section 12.5.2.2.1.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(151) ASTM D4177-95 (Reapproved 2000), Standard Practice for Automatic Sampling of Petroleum and Petroleum Products,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(152) ASTM D4239-85, Standard Test Methods for Sulfur in the Analysis Sample of Coal and Coke Using High Temperature Tube Furnace Combustion Methods,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(153) ASTM D4239-94, Standard Test Methods for Sulfur in the Analysis Sample of Coal and Coke Using High Temperature Tube Furnace Combustion Methods,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(154) ASTM D4239-97, Standard Test Methods for Sulfur in the Analysis Sample of Coal and Coke Using High Temperature Tube Furnace Combustion Methods, IBR approved for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(155) ASTM D4294-02, Standard Test Method for Sulfur in Petroleum and Petroleum Products by Energy-Dispersive X-Ray Fluorescence Spectrometry,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(156) ASTM D4294-03, Standard Test Method for Sulfur in Petroleum and Petroleum Products by Energy-Dispersive X-Ray Fluorescence Spectrometry,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(157) ASTM D4442-84, Standard Test Methods for Direct Moisture Content Measurement in Wood and Wood-base Materials, IBR approved for appendix A-8 to part 60: Method 28, Section 16.1.1.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(158) ASTM D4442-92, Standard Test Methods for Direct Moisture Content Measurement in Wood and Wood-base Materials, IBR approved for appendix A-8 to part 60: Method 28, Section 16.1.1.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(159) ASTM D4444-92, Standard Test Methods for Use and Calibration of Hand-Held Moisture Meters, IBR approved for appendix A-8 to part 60: Method 28, Section 16.1.1.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(160) ASTM D4457-85 (Reapproved 1991), Test Method for Determination of Dichloromethane and 1,1,1-Trichloroethane in Paints and Coatings by Direct Injection into a Gas Chromatograph, IBR approved for appendix A-7 to part 60: Method 24, Section 6.5.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(161) ASTM D4468-85 (Reapproved 2000), Standard Test Method for Total Sulfur in Gaseous Fuels by Hydrogenolysis and Rateometric Colorimetry, IBR approved for §§60.335(b) and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(162) ASTM D4468-85 (Reapproved 2006), Standard Test Method for Total Sulfur in Gaseous Fuels by Hydrogenolysis and Rateometric Colorimetry, (Approved June 1, 2006), IBR approved for §60.107a(e).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(163) ASTM D4629-02, Standard Test Method for Trace Nitrogen in Liquid Petroleum Hydrocarbons by Syringe/Inlet Oxidative Combustion and Chemiluminescence Detection, IBR approved for §§60.49b(e) and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(164) ASTM D4809-95, Standard Test Method for Heat of Combustion of Liquid Hydrocarbon Fuels by Bomb Calorimeter (Precision Method), IBR approved for §§60.18(f), 60.485(g), 60.485a(g), 60.564(f), 60.614(d), 60.664(e), and 60.704(d).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(165) ASTM D4809-06, Standard Test Method for Heat of Combustion of Liquid Hydrocarbon Fuels by Bomb Calorimeter (Precision Method), (Approved December 1, 2006),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(166) ASTM D4810-88 (Reapproved 1999), Standard Test Method for Hydrogen Sulfide in Natural Gas Using Length of Stain Detector Tubes, IBR approved for §§60.4360 and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(167) ASTM D4891-89 (Reapproved 2006) Standard Test Method for Heating Value of Gases in Natural Gas Range by Stoichiometric Combustion, (Approved June 1, 2006), IBR approved for §§60.107a(d) and 60.5413(d).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(168) ASTM D5287-97 (Reapproved 2002), Standard Practice for Automatic Sampling of Gaseous Fuels,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(169) ASTM D5403-93, Standard Test Methods for Volatile Content of Radiation Curable Materials, IBR approved for appendix A-7 to part 60: Method 24, Section 6.6.</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(170) ASTM D5453-00, Standard Test Method for Determination of Total Sulfur in Light Hydrocarbons, Motor Fuels and Oils by Ultraviolet Fluorescence,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(171) ASTM D5453-05, Standard Test Method for Determination of Total Sulfur in Light Hydrocarbons, Motor Fuels and Oils by Ultraviolet Fluorescence,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(172) ASTM D5504-01, Standard Test Method for Determination of Sulfur Compounds in Natural Gas and Gaseous Fuels by Gas Chromatography and Chemiluminescence, IBR approved for §§60.334(h) and 60.4360.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(173) ASTM D5504-08, Standard Test Method for Determination of Sulfur Compounds in Natural Gas and Gaseous Fuels by Gas Chromatography and Chemiluminescence, (Approved June 15, 2008), IBR approved for §§60.107a(e) and 60.5413(d).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(174) ASTM D5762-02, Standard Test Method for Nitrogen in Petroleum and Petroleum Products by Boat-Inlet Chemiluminescence,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(175) ASTM D5865-98, Standard Test Method for Gross Calorific Value of Coal and Coke, IBR approved for §§60.45(f) and 60.46(c), and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(176) ASTM D5865-10, Standard Test Method for Gross Calorific Value of Coal and Coke, (Approved January 1, 2010), IBR approved for §§60.45(f), 60.46(c), and appendix A-7 to part 60: Method 19, section 12.5.2.1.3.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(177) ASTM D6216-98, Standard Practice for Opacity Monitor Manufacturers to Certify Conformance with Design and Performance Specifications, IBR approved for appendix B to part 60: Performance Specification 1.</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(178) ASTM D6228-98, Standard Test Method for Determination of Sulfur Compounds in Natural Gas and Gaseous Fuels by Gas Chromatography and Flame Photometric Detection, IBR approved for §60.334(h).</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(179) ASTM D6228-98 (Reapproved 2003), Standard Test Method for Determination of Sulfur Compounds in Natural Gas and Gaseous Fuels by Gas Chromatography and Flame Photometric Detection, IBR approved for §§60.4360 and 60.4415.</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(180) ASTM D6348-03, Standard Test Method for Determination of Gaseous Compounds by Extractive Direct Interface Fourier Transform Infrared (FTIR) Spectroscopy, (Approved October 1, 2003), IBR approved for §60.73a(b), table 7 to subpart IIII, and table 2 to subpart JJJJ.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(181) ASTM D6366-99, Standard Test Method for Total Trace Nitrogen and Its Derivatives in Liquid Aromatic Hydrocarbons by Oxidative Combustion and Electrochemical Detection, IBR approved for §60.335(b)(9).</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(182) ASTM D6420-99 (Reapproved 2004), Standard Test Method for Determination of Gaseous Organic Compounds by Direct Interface Gas Chromatography-Mass Spectrometry, (Approved October 1, 2004), IBR approved for §60.107a(d) and table 2 to subpart JJJJ.</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and §§60.5413(b) and (d).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(185) ASTM D6667-01, Standard Test Method for Determination of Total Volatile Sulfur in Gaseous Hydrocarbons and Liquefied Petroleum Gases by Ultraviolet Fluorescence, IBR approved for §60.335(b).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(186) ASTM D6667-04, Standard Test Method for Determination of Total Volatile Sulfur in Gaseous Hydrocarbons and Liquefied Petroleum Gases by Ultraviolet Fluorescence, IBR approved for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(187) ASTM D6751-11b, Standard Specification for Biodiesel Fuel Blend Stock (B100) for Middle Distillate Fuels, including Appendices X1 through X3, (Approved July 15, 2011), IBR approved for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(190) ASTM D7467-10, Standard Specification for Diesel Fuel Oil, Biodiesel Blend (B6 to B20), including Appendices X1 through X3, (Approved August 1, 2010), IBR approved for §§60.41b and 60.41c.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(191) ASTM E168-67, General Techniques of Infrared Quantitative Analysis, IBR approved for §§60.485a(d), 60.593(b), 60.593a(b), and 60.632(f).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(192) ASTM E168-77, General Techniques of Infrared Quantitative Analysis, IBR approved for §§60.485a(d), 60.593(b), 60.593a(b), and 60.632(f).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(193) ASTM E168-92, General Techniques of Infrared Quantitative Analysis, IBR approved for §§60.485a(d)(1), 60.593(b)(2), 60.593a(b)(2), 60.632(f), and 60.5400.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(194) ASTM E169-63, General Techniques of Ultraviolet Quantitative Analysis, IBR approved for §§60.485a(d), 60.593(b), 60.593a(b), and 60.632(f)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(195) ASTM E169-77, General Techniques of Ultraviolet Quantitative Analysis, IBR approved for §§60.485a(d), 60.593(b), and 60.593a(b), 60.632(f).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(196) ASTM E169-93, General Techniques of Ultraviolet Quantitative Analysis, (Approved May 15, 1993), IBR approved for §§60.485a(d), 60.593(b), 60.593a(b), 60.632(f), and 60.5400(f).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(197) ASTM E260-73, General Gas Chromatography Procedures, IBR approved for §§60.485a(d), 60.593(b), 60.593a(b), and 60.632(f).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(198) ASTM E260-91, General Gas Chromatography Procedures, (IBR approved for §§60.485a(d), 60.593(b), 60.593a(b), and 60.632(f).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(199) ASTM E260-96, General Gas Chromatography Procedures, (Approved April 10, 1996), IBR approved for §§60.485a(d), 60.593(b), 60.593a(b), 60.632(f), 60.5400(f), and 60.5406(b).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(200) ASTM E1584-11, Standard Test Method for Assay of Nitric Acid, (Approved August 1, 2011), IBR approved for §60.73a(c).</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(201) ASTM UOP539-97, Refinery Gas Analysis by Gas Chromatography, (Copyright 1997),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(h) Association of Official Analytical Chemists, 1111 North 19th Street, Suite 210, Arlington, VA 22209.</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AOAC Method 9, Official Methods of Analysis of the Association of Official Analytical Chemists (AOAC), 11th edition, 1970, pp. 11-12, IBR approved for §§60.204(b), 60.214(b), 60.224(b), and 60.234(b).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 U.S. Environmental Protection Agency, 1200 Pennsylvania Avenue NW., Washington, DC 20460, (202) 272-0167, </w:t>
      </w:r>
      <w:r w:rsidRPr="00B22F92">
        <w:rPr>
          <w:rFonts w:ascii="Arial" w:hAnsi="Arial" w:cs="Arial"/>
          <w:i/>
          <w:iCs/>
          <w:sz w:val="20"/>
          <w:szCs w:val="20"/>
        </w:rPr>
        <w:t>http://www.epa.gov</w:t>
      </w:r>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EPA-454/R-98-015, Office of Air Quality Planning and Standards (OAQPS) Fabric Filter Bag Leak Detection Guidance, September 1997, IBR approved for §§60.2145(r), 60.2710(r), 60.4905(b), and 60.5225(b).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(j)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Gas Processors Association Standard 2172-09, Calculation of Gross Heating Value, Relative Density, Compressibility and Theoretical Hydrocarbon Liquid Content for Natural Gas Mixtures for Custody Transfer (2009),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(2) Gas Processors Association Standard 2261-00, Analysis for Natural Gas and Similar Gaseous Mixtures by Gas Chromatography (2000),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Gas Processors Association Standard 2377-86, Test for Hydrogen Sulfide and Carbon Dioxide in Natural Gas Using Length of Stain Tubes, 1986 Revision, IBR approved for §§60.105(b), 60.107a(b), 60.334(h), 60.4360, and 60.4415(a).</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(k) International Organization for Standardization (ISO) available through IHS Inc., 15 Inverness Way East, Englewood, CO 80112.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ISO 8178-4: 1996(E), Reciprocating Internal Combustion Engines—Exhaust Emission Measurement—part 4: Test Cycles for Different Engine Applications, IBR approved for §60.4241(b).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(l) International Organization for Standardization (ISO), 1, ch. de la Voie-Creuse, Case postale 56, CH-1211 Geneva 20, Switzerland, +41 22 749 01 11, </w:t>
      </w:r>
      <w:r w:rsidRPr="00B22F92">
        <w:rPr>
          <w:rFonts w:ascii="Arial" w:hAnsi="Arial" w:cs="Arial"/>
          <w:i/>
          <w:iCs/>
          <w:sz w:val="20"/>
          <w:szCs w:val="20"/>
        </w:rPr>
        <w:t>http://www.iso.org/iso/home.htm</w:t>
      </w:r>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ISO 8316: Measurement of Liquid Flow in Closed Conduits—Method by Collection of the Liquid in a Volumetric Tank (1987-10-01)—First Edition, IBR approved for §60.107a(d).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(m)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OMB Bulletin No. 93-17: Revised Statistical Definitions for Metropolitan Areas. Office of Management and Budget, June 30, 1993. NTIS No. PB 93-192-664. IBR approved for §60.31e.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(n) North American Electric Reliability Corporation, 1325 G Street NW., Suite 600, Washington, DC 20005-3801, </w:t>
      </w:r>
      <w:r w:rsidRPr="00B22F92">
        <w:rPr>
          <w:rFonts w:ascii="Arial" w:hAnsi="Arial" w:cs="Arial"/>
          <w:i/>
          <w:iCs/>
          <w:sz w:val="20"/>
          <w:szCs w:val="20"/>
        </w:rPr>
        <w:t>http://www.nerc.com</w:t>
      </w:r>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North American Electric Reliability Corporation Reliability Standard EOP-002-3, Capacity and Energy Emergencies, updated November 19, 2012, IBR approved for §§60.4211(f) and 60.4243(d). Also available online: </w:t>
      </w:r>
      <w:r w:rsidRPr="00B22F92">
        <w:rPr>
          <w:rFonts w:ascii="Arial" w:hAnsi="Arial" w:cs="Arial"/>
          <w:i/>
          <w:iCs/>
          <w:sz w:val="20"/>
          <w:szCs w:val="20"/>
        </w:rPr>
        <w:t>http://www.nerc.com/files/EOP-002-3_1.pdf</w:t>
      </w:r>
      <w:r w:rsidRPr="00B22F92">
        <w:rPr>
          <w:rFonts w:ascii="Arial" w:hAnsi="Arial" w:cs="Arial"/>
          <w:sz w:val="20"/>
          <w:szCs w:val="20"/>
        </w:rPr>
        <w: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(o) The following material is available for purchase from the Technical Association of the Pulp and Paper Industry (TAPPI), 15 Technology Parkway South, Suite 115, Peachtree Corners, GA 30092, Telephone (800) 332-8686, and is also available at the following Web site: </w:t>
      </w:r>
      <w:r w:rsidRPr="00B22F92">
        <w:rPr>
          <w:rFonts w:ascii="Arial" w:hAnsi="Arial" w:cs="Arial"/>
          <w:i/>
          <w:iCs/>
          <w:sz w:val="20"/>
          <w:szCs w:val="20"/>
        </w:rPr>
        <w:t>http://www.tappi.org.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TAPPI Method T 624 cm-11, (Copyright 2011), IBR approved, for §§60.285(d) and 60.285a(d).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(p) Underwriter's Laboratories, Inc. (UL), 333 Pfingsten Road, Northbrook, IL 60062.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UL 103, Sixth Edition revised as of September 3, 1986, Standard for Chimneys, Factory-built, Residential Type and Building Heating Appliance, IBR approved for Appendix A-8 to part 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(q) Water Pollution Control Federation (WPCF), 2626 Pennsylvania Avenue NW., Washington, DC 20037.</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Method 209A, Total Residue Dried at 103-105 °C, in Standard Methods for the Examination of Water and Wastewater, 15th Edition, 1980, IBR approved for §60.683(b).</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(r) West Coast Lumber Inspection Bureau, 6980 SW. Barnes Road, Portland, OR 97223.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West Coast Lumber Standard Grading Rules No. 16, pages 5-21, 90 and 91, September 3, 1970, revised 1984, IBR approved for Appendix A-8 to part 60.</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[Reserved]</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[79 FR 11242, Feb. 27, 2014, as amended at 79 FR 18965, Apr. 4, 2014]</w:t>
      </w:r>
    </w:p>
    <w:p w:rsidR="00B22F92" w:rsidRPr="00B22F92" w:rsidRDefault="008B0C90" w:rsidP="00B22F92">
      <w:pPr>
        <w:pStyle w:val="fp"/>
        <w:rPr>
          <w:rFonts w:ascii="Arial" w:hAnsi="Arial" w:cs="Arial"/>
          <w:sz w:val="20"/>
          <w:szCs w:val="20"/>
        </w:rPr>
      </w:pPr>
      <w:hyperlink r:id="rId48" w:anchor="_top" w:history="1">
        <w:r w:rsidR="00B22F92" w:rsidRPr="00B22F92">
          <w:rPr>
            <w:rFonts w:ascii="Arial" w:hAnsi="Arial" w:cs="Arial"/>
            <w:noProof/>
            <w:color w:val="0000FF"/>
            <w:sz w:val="20"/>
            <w:szCs w:val="20"/>
          </w:rPr>
          <w:drawing>
            <wp:inline distT="0" distB="0" distL="0" distR="0">
              <wp:extent cx="156845" cy="156845"/>
              <wp:effectExtent l="0" t="0" r="0" b="0"/>
              <wp:docPr id="7" name="Picture 7"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19" w:name="40:7.0.1.1.1.1.151.18"/>
      <w:bookmarkEnd w:id="19"/>
      <w:r w:rsidRPr="00B22F92">
        <w:rPr>
          <w:rFonts w:ascii="Arial" w:hAnsi="Arial" w:cs="Arial"/>
          <w:sz w:val="20"/>
          <w:szCs w:val="20"/>
        </w:rPr>
        <w:t>§60.18   General control device and work practice requirements.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w:t>
      </w:r>
      <w:r w:rsidRPr="00B22F92">
        <w:rPr>
          <w:rFonts w:ascii="Arial" w:hAnsi="Arial" w:cs="Arial"/>
          <w:i/>
          <w:iCs/>
          <w:sz w:val="20"/>
          <w:szCs w:val="20"/>
        </w:rPr>
        <w:t>Introduction.</w:t>
      </w:r>
      <w:r w:rsidRPr="00B22F92">
        <w:rPr>
          <w:rFonts w:ascii="Arial" w:hAnsi="Arial" w:cs="Arial"/>
          <w:sz w:val="20"/>
          <w:szCs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(b) </w:t>
      </w:r>
      <w:r w:rsidRPr="00B22F92">
        <w:rPr>
          <w:rFonts w:ascii="Arial" w:hAnsi="Arial" w:cs="Arial"/>
          <w:i/>
          <w:iCs/>
          <w:sz w:val="20"/>
          <w:szCs w:val="20"/>
        </w:rPr>
        <w:t>Flares.</w:t>
      </w:r>
      <w:r w:rsidRPr="00B22F92">
        <w:rPr>
          <w:rFonts w:ascii="Arial" w:hAnsi="Arial" w:cs="Arial"/>
          <w:sz w:val="20"/>
          <w:szCs w:val="20"/>
        </w:rPr>
        <w:t xml:space="preserve"> Paragraphs (c) through (f) apply to flares.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(c)(1) Flares shall be designed for and operated with no visible emissions as determined by the methods specified in paragraph (f), except for periods not to exceed a total of 5 minutes during any 2 consecutive hours.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Flares shall be operated with a flame present at all times, as determined by the methods specified in paragraph (f).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B22F92">
        <w:rPr>
          <w:rFonts w:ascii="Arial" w:hAnsi="Arial" w:cs="Arial"/>
          <w:sz w:val="20"/>
          <w:szCs w:val="20"/>
          <w:vertAlign w:val="subscript"/>
        </w:rPr>
        <w:t>max</w:t>
      </w:r>
      <w:r w:rsidRPr="00B22F92">
        <w:rPr>
          <w:rFonts w:ascii="Arial" w:hAnsi="Arial" w:cs="Arial"/>
          <w:sz w:val="20"/>
          <w:szCs w:val="20"/>
        </w:rPr>
        <w:t>, as determined by the following equation:</w:t>
      </w:r>
    </w:p>
    <w:p w:rsidR="00B22F92" w:rsidRPr="00B22F92" w:rsidRDefault="00B22F92" w:rsidP="00B22F92">
      <w:pPr>
        <w:pStyle w:val="fp-2"/>
        <w:rPr>
          <w:rFonts w:ascii="Arial" w:hAnsi="Arial" w:cs="Arial"/>
          <w:sz w:val="20"/>
          <w:szCs w:val="20"/>
        </w:rPr>
      </w:pPr>
      <w:r w:rsidRPr="00B22F92">
        <w:rPr>
          <w:rFonts w:ascii="Arial" w:hAnsi="Arial" w:cs="Arial"/>
          <w:sz w:val="20"/>
          <w:szCs w:val="20"/>
        </w:rPr>
        <w:t>V</w:t>
      </w:r>
      <w:r w:rsidRPr="00B22F92">
        <w:rPr>
          <w:rFonts w:ascii="Arial" w:hAnsi="Arial" w:cs="Arial"/>
          <w:sz w:val="20"/>
          <w:szCs w:val="20"/>
          <w:vertAlign w:val="subscript"/>
        </w:rPr>
        <w:t>max</w:t>
      </w:r>
      <w:r w:rsidRPr="00B22F92">
        <w:rPr>
          <w:rFonts w:ascii="Arial" w:hAnsi="Arial" w:cs="Arial"/>
          <w:sz w:val="20"/>
          <w:szCs w:val="20"/>
        </w:rPr>
        <w:t xml:space="preserve"> = (X</w:t>
      </w:r>
      <w:r w:rsidRPr="00B22F92">
        <w:rPr>
          <w:rFonts w:ascii="Arial" w:hAnsi="Arial" w:cs="Arial"/>
          <w:sz w:val="20"/>
          <w:szCs w:val="20"/>
          <w:vertAlign w:val="subscript"/>
        </w:rPr>
        <w:t>H2</w:t>
      </w:r>
      <w:r w:rsidRPr="00B22F92">
        <w:rPr>
          <w:rFonts w:ascii="Arial" w:hAnsi="Arial" w:cs="Arial"/>
          <w:sz w:val="20"/>
          <w:szCs w:val="20"/>
        </w:rPr>
        <w:t>−K</w:t>
      </w:r>
      <w:r w:rsidRPr="00B22F92">
        <w:rPr>
          <w:rFonts w:ascii="Arial" w:hAnsi="Arial" w:cs="Arial"/>
          <w:sz w:val="20"/>
          <w:szCs w:val="20"/>
          <w:vertAlign w:val="subscript"/>
        </w:rPr>
        <w:t>1</w:t>
      </w:r>
      <w:r w:rsidRPr="00B22F92">
        <w:rPr>
          <w:rFonts w:ascii="Arial" w:hAnsi="Arial" w:cs="Arial"/>
          <w:sz w:val="20"/>
          <w:szCs w:val="20"/>
        </w:rPr>
        <w:t>)* K</w:t>
      </w:r>
      <w:r w:rsidRPr="00B22F92">
        <w:rPr>
          <w:rFonts w:ascii="Arial" w:hAnsi="Arial" w:cs="Arial"/>
          <w:sz w:val="20"/>
          <w:szCs w:val="20"/>
          <w:vertAlign w:val="subscript"/>
        </w:rPr>
        <w:t>2</w:t>
      </w:r>
    </w:p>
    <w:p w:rsidR="00B22F92" w:rsidRPr="00B22F92" w:rsidRDefault="00B22F92" w:rsidP="00B22F92">
      <w:pPr>
        <w:pStyle w:val="fp"/>
        <w:rPr>
          <w:rFonts w:ascii="Arial" w:hAnsi="Arial" w:cs="Arial"/>
          <w:sz w:val="20"/>
          <w:szCs w:val="20"/>
        </w:rPr>
      </w:pPr>
      <w:r w:rsidRPr="00B22F92">
        <w:rPr>
          <w:rFonts w:ascii="Arial" w:hAnsi="Arial" w:cs="Arial"/>
          <w:sz w:val="20"/>
          <w:szCs w:val="20"/>
        </w:rPr>
        <w:t>Where:</w:t>
      </w:r>
    </w:p>
    <w:p w:rsidR="00B22F92" w:rsidRPr="00B22F92" w:rsidRDefault="00B22F92" w:rsidP="00B22F92">
      <w:pPr>
        <w:pStyle w:val="fp-2"/>
        <w:rPr>
          <w:rFonts w:ascii="Arial" w:hAnsi="Arial" w:cs="Arial"/>
          <w:sz w:val="20"/>
          <w:szCs w:val="20"/>
        </w:rPr>
      </w:pPr>
      <w:r w:rsidRPr="00B22F92">
        <w:rPr>
          <w:rFonts w:ascii="Arial" w:hAnsi="Arial" w:cs="Arial"/>
          <w:sz w:val="20"/>
          <w:szCs w:val="20"/>
        </w:rPr>
        <w:t>V</w:t>
      </w:r>
      <w:r w:rsidRPr="00B22F92">
        <w:rPr>
          <w:rFonts w:ascii="Arial" w:hAnsi="Arial" w:cs="Arial"/>
          <w:sz w:val="20"/>
          <w:szCs w:val="20"/>
          <w:vertAlign w:val="subscript"/>
        </w:rPr>
        <w:t>max</w:t>
      </w:r>
      <w:r w:rsidRPr="00B22F92">
        <w:rPr>
          <w:rFonts w:ascii="Arial" w:hAnsi="Arial" w:cs="Arial"/>
          <w:sz w:val="20"/>
          <w:szCs w:val="20"/>
        </w:rPr>
        <w:t xml:space="preserve"> = Maximum permitted velocity, m/sec.</w:t>
      </w:r>
    </w:p>
    <w:p w:rsidR="00B22F92" w:rsidRPr="00B22F92" w:rsidRDefault="00B22F92" w:rsidP="00B22F92">
      <w:pPr>
        <w:pStyle w:val="fp-2"/>
        <w:rPr>
          <w:rFonts w:ascii="Arial" w:hAnsi="Arial" w:cs="Arial"/>
          <w:sz w:val="20"/>
          <w:szCs w:val="20"/>
        </w:rPr>
      </w:pPr>
      <w:r w:rsidRPr="00B22F92">
        <w:rPr>
          <w:rFonts w:ascii="Arial" w:hAnsi="Arial" w:cs="Arial"/>
          <w:sz w:val="20"/>
          <w:szCs w:val="20"/>
        </w:rPr>
        <w:t>K</w:t>
      </w:r>
      <w:r w:rsidRPr="00B22F92">
        <w:rPr>
          <w:rFonts w:ascii="Arial" w:hAnsi="Arial" w:cs="Arial"/>
          <w:sz w:val="20"/>
          <w:szCs w:val="20"/>
          <w:vertAlign w:val="subscript"/>
        </w:rPr>
        <w:t>1</w:t>
      </w:r>
      <w:r w:rsidRPr="00B22F92">
        <w:rPr>
          <w:rFonts w:ascii="Arial" w:hAnsi="Arial" w:cs="Arial"/>
          <w:sz w:val="20"/>
          <w:szCs w:val="20"/>
        </w:rPr>
        <w:t xml:space="preserve"> = Constant, 6.0 volume-percent hydrogen.</w:t>
      </w:r>
    </w:p>
    <w:p w:rsidR="00B22F92" w:rsidRPr="00B22F92" w:rsidRDefault="00B22F92" w:rsidP="00B22F92">
      <w:pPr>
        <w:pStyle w:val="fp-2"/>
        <w:rPr>
          <w:rFonts w:ascii="Arial" w:hAnsi="Arial" w:cs="Arial"/>
          <w:sz w:val="20"/>
          <w:szCs w:val="20"/>
        </w:rPr>
      </w:pPr>
      <w:r w:rsidRPr="00B22F92">
        <w:rPr>
          <w:rFonts w:ascii="Arial" w:hAnsi="Arial" w:cs="Arial"/>
          <w:sz w:val="20"/>
          <w:szCs w:val="20"/>
        </w:rPr>
        <w:t>K</w:t>
      </w:r>
      <w:r w:rsidRPr="00B22F92">
        <w:rPr>
          <w:rFonts w:ascii="Arial" w:hAnsi="Arial" w:cs="Arial"/>
          <w:sz w:val="20"/>
          <w:szCs w:val="20"/>
          <w:vertAlign w:val="subscript"/>
        </w:rPr>
        <w:t>2</w:t>
      </w:r>
      <w:r w:rsidRPr="00B22F92">
        <w:rPr>
          <w:rFonts w:ascii="Arial" w:hAnsi="Arial" w:cs="Arial"/>
          <w:sz w:val="20"/>
          <w:szCs w:val="20"/>
        </w:rPr>
        <w:t xml:space="preserve"> = Constant, 3.9(m/sec)/volume-percent hydrogen.</w:t>
      </w:r>
    </w:p>
    <w:p w:rsidR="00B22F92" w:rsidRPr="00B22F92" w:rsidRDefault="00B22F92" w:rsidP="00B22F92">
      <w:pPr>
        <w:pStyle w:val="fp-2"/>
        <w:rPr>
          <w:rFonts w:ascii="Arial" w:hAnsi="Arial" w:cs="Arial"/>
          <w:sz w:val="20"/>
          <w:szCs w:val="20"/>
        </w:rPr>
      </w:pPr>
      <w:r w:rsidRPr="00B22F92">
        <w:rPr>
          <w:rFonts w:ascii="Arial" w:hAnsi="Arial" w:cs="Arial"/>
          <w:sz w:val="20"/>
          <w:szCs w:val="20"/>
        </w:rPr>
        <w:t>X</w:t>
      </w:r>
      <w:r w:rsidRPr="00B22F92">
        <w:rPr>
          <w:rFonts w:ascii="Arial" w:hAnsi="Arial" w:cs="Arial"/>
          <w:sz w:val="20"/>
          <w:szCs w:val="20"/>
          <w:vertAlign w:val="subscript"/>
        </w:rPr>
        <w:t>H2</w:t>
      </w:r>
      <w:r w:rsidRPr="00B22F92">
        <w:rPr>
          <w:rFonts w:ascii="Arial" w:hAnsi="Arial" w:cs="Arial"/>
          <w:sz w:val="20"/>
          <w:szCs w:val="20"/>
        </w:rPr>
        <w:t xml:space="preserve"> = The volume-percent of hydrogen, on a wet basis, as calculated by using the American Society for Testing and Materials (ASTM) Method D1946-77. (Incorporated by reference as specified in §60.17).</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The actual exit velocity of a flare shall be determined by the method specified in paragraph (f)(4)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Steam-assisted and nonassisted flares designed for and operated with an exit velocity, as determined by the methods specified in paragraph (f)(4), less than the velocity, V</w:t>
      </w:r>
      <w:r w:rsidRPr="00B22F92">
        <w:rPr>
          <w:rFonts w:ascii="Arial" w:hAnsi="Arial" w:cs="Arial"/>
          <w:sz w:val="20"/>
          <w:szCs w:val="20"/>
          <w:vertAlign w:val="subscript"/>
        </w:rPr>
        <w:t>max</w:t>
      </w:r>
      <w:r w:rsidRPr="00B22F92">
        <w:rPr>
          <w:rFonts w:ascii="Arial" w:hAnsi="Arial" w:cs="Arial"/>
          <w:sz w:val="20"/>
          <w:szCs w:val="20"/>
        </w:rPr>
        <w:t>, as determined by the method specified in paragraph (f)(5), and less than 122 m/sec (400 ft/sec) are allowed.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 Air-assisted flares shall be designed and operated with an exit velocity less than the velocity, V</w:t>
      </w:r>
      <w:r w:rsidRPr="00B22F92">
        <w:rPr>
          <w:rFonts w:ascii="Arial" w:hAnsi="Arial" w:cs="Arial"/>
          <w:sz w:val="20"/>
          <w:szCs w:val="20"/>
          <w:vertAlign w:val="subscript"/>
        </w:rPr>
        <w:t>max</w:t>
      </w:r>
      <w:r w:rsidRPr="00B22F92">
        <w:rPr>
          <w:rFonts w:ascii="Arial" w:hAnsi="Arial" w:cs="Arial"/>
          <w:sz w:val="20"/>
          <w:szCs w:val="20"/>
        </w:rPr>
        <w:t>, as determined by the method specified in paragraph (f)(6).</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 Flares used to comply with this section shall be steam-assisted, air-assisted, or nonassisted.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(e) Flares used to comply with provisions of this subpart shall be operated at all times when emissions may be vented to them.</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(f)(1) Method 22 of appendix A to this part shall be used to determine the compliance of flares with the visible emission provisions of this subpart. The observation period is 2 hours and shall be used according to Method 22.</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The presence of a flare pilot flame shall be monitored using a thermocouple or any other equivalent device to detect the presence of a flame.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The net heating value of the gas being combusted in a flare shall be calculated using the following equation:</w:t>
      </w:r>
    </w:p>
    <w:p w:rsidR="00B22F92" w:rsidRPr="00B22F92" w:rsidRDefault="00B22F92" w:rsidP="00B22F92">
      <w:pPr>
        <w:rPr>
          <w:rFonts w:ascii="Arial" w:hAnsi="Arial" w:cs="Arial"/>
          <w:sz w:val="20"/>
          <w:szCs w:val="20"/>
        </w:rPr>
      </w:pPr>
      <w:r w:rsidRPr="00B22F92">
        <w:rPr>
          <w:rFonts w:ascii="Arial" w:hAnsi="Arial" w:cs="Arial"/>
          <w:noProof/>
          <w:sz w:val="20"/>
          <w:szCs w:val="20"/>
        </w:rPr>
        <w:drawing>
          <wp:inline distT="0" distB="0" distL="0" distR="0">
            <wp:extent cx="1091565" cy="293370"/>
            <wp:effectExtent l="0" t="0" r="0" b="0"/>
            <wp:docPr id="6" name="Picture 6"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c01jn92.008.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91565" cy="293370"/>
                    </a:xfrm>
                    <a:prstGeom prst="rect">
                      <a:avLst/>
                    </a:prstGeom>
                    <a:noFill/>
                    <a:ln>
                      <a:noFill/>
                    </a:ln>
                  </pic:spPr>
                </pic:pic>
              </a:graphicData>
            </a:graphic>
          </wp:inline>
        </w:drawing>
      </w:r>
    </w:p>
    <w:p w:rsidR="00B22F92" w:rsidRPr="00B22F92" w:rsidRDefault="008B0C90" w:rsidP="00B22F92">
      <w:pPr>
        <w:pStyle w:val="NormalWeb"/>
        <w:rPr>
          <w:rFonts w:ascii="Arial" w:hAnsi="Arial" w:cs="Arial"/>
          <w:sz w:val="20"/>
          <w:szCs w:val="20"/>
        </w:rPr>
      </w:pPr>
      <w:hyperlink r:id="rId50" w:history="1">
        <w:r w:rsidR="00B22F92" w:rsidRPr="00B22F92">
          <w:rPr>
            <w:rStyle w:val="Hyperlink"/>
            <w:sz w:val="20"/>
            <w:szCs w:val="20"/>
          </w:rPr>
          <w:t>View or download PDF</w:t>
        </w:r>
      </w:hyperlink>
    </w:p>
    <w:p w:rsidR="00B22F92" w:rsidRPr="00B22F92" w:rsidRDefault="00B22F92" w:rsidP="00B22F92">
      <w:pPr>
        <w:pStyle w:val="fp"/>
        <w:rPr>
          <w:rFonts w:ascii="Arial" w:hAnsi="Arial" w:cs="Arial"/>
          <w:sz w:val="20"/>
          <w:szCs w:val="20"/>
        </w:rPr>
      </w:pPr>
      <w:r w:rsidRPr="00B22F92">
        <w:rPr>
          <w:rFonts w:ascii="Arial" w:hAnsi="Arial" w:cs="Arial"/>
          <w:sz w:val="20"/>
          <w:szCs w:val="20"/>
        </w:rPr>
        <w:t>where:</w:t>
      </w:r>
    </w:p>
    <w:p w:rsidR="00B22F92" w:rsidRPr="00B22F92" w:rsidRDefault="00B22F92" w:rsidP="00B22F92">
      <w:pPr>
        <w:pStyle w:val="fp-2"/>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T</w:t>
      </w:r>
      <w:r w:rsidRPr="00B22F92">
        <w:rPr>
          <w:rFonts w:ascii="Arial" w:hAnsi="Arial" w:cs="Arial"/>
          <w:sz w:val="20"/>
          <w:szCs w:val="20"/>
        </w:rPr>
        <w:t xml:space="preserve"> = Net heating value of the sample, MJ/scm; where the net enthalpy per mole of offgas is based on combustion at 25 °C and 760 mm Hg, but the standard temperature for determining the volume corresponding to one mole is 20 °C;</w:t>
      </w:r>
    </w:p>
    <w:p w:rsidR="00B22F92" w:rsidRPr="00B22F92" w:rsidRDefault="00B22F92" w:rsidP="00B22F92">
      <w:pPr>
        <w:rPr>
          <w:rFonts w:ascii="Arial" w:hAnsi="Arial" w:cs="Arial"/>
          <w:sz w:val="20"/>
          <w:szCs w:val="20"/>
        </w:rPr>
      </w:pPr>
      <w:r w:rsidRPr="00B22F92">
        <w:rPr>
          <w:rFonts w:ascii="Arial" w:hAnsi="Arial" w:cs="Arial"/>
          <w:noProof/>
          <w:sz w:val="20"/>
          <w:szCs w:val="20"/>
        </w:rPr>
        <w:drawing>
          <wp:inline distT="0" distB="0" distL="0" distR="0">
            <wp:extent cx="3384550" cy="579755"/>
            <wp:effectExtent l="0" t="0" r="0" b="0"/>
            <wp:docPr id="5" name="Picture 5"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c01jn92.009.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384550" cy="579755"/>
                    </a:xfrm>
                    <a:prstGeom prst="rect">
                      <a:avLst/>
                    </a:prstGeom>
                    <a:noFill/>
                    <a:ln>
                      <a:noFill/>
                    </a:ln>
                  </pic:spPr>
                </pic:pic>
              </a:graphicData>
            </a:graphic>
          </wp:inline>
        </w:drawing>
      </w:r>
    </w:p>
    <w:p w:rsidR="00B22F92" w:rsidRPr="00B22F92" w:rsidRDefault="008B0C90" w:rsidP="00B22F92">
      <w:pPr>
        <w:pStyle w:val="NormalWeb"/>
        <w:rPr>
          <w:rFonts w:ascii="Arial" w:hAnsi="Arial" w:cs="Arial"/>
          <w:sz w:val="20"/>
          <w:szCs w:val="20"/>
        </w:rPr>
      </w:pPr>
      <w:hyperlink r:id="rId52" w:history="1">
        <w:r w:rsidR="00B22F92" w:rsidRPr="00B22F92">
          <w:rPr>
            <w:rStyle w:val="Hyperlink"/>
            <w:sz w:val="20"/>
            <w:szCs w:val="20"/>
          </w:rPr>
          <w:t>View or download PDF</w:t>
        </w:r>
      </w:hyperlink>
    </w:p>
    <w:p w:rsidR="00B22F92" w:rsidRPr="00B22F92" w:rsidRDefault="00B22F92" w:rsidP="00B22F92">
      <w:pPr>
        <w:pStyle w:val="fp-2"/>
        <w:rPr>
          <w:rFonts w:ascii="Arial" w:hAnsi="Arial" w:cs="Arial"/>
          <w:sz w:val="20"/>
          <w:szCs w:val="20"/>
        </w:rPr>
      </w:pPr>
      <w:r w:rsidRPr="00B22F92">
        <w:rPr>
          <w:rFonts w:ascii="Arial" w:hAnsi="Arial" w:cs="Arial"/>
          <w:sz w:val="20"/>
          <w:szCs w:val="20"/>
        </w:rPr>
        <w:t>C</w:t>
      </w:r>
      <w:r w:rsidRPr="00B22F92">
        <w:rPr>
          <w:rFonts w:ascii="Arial" w:hAnsi="Arial" w:cs="Arial"/>
          <w:sz w:val="20"/>
          <w:szCs w:val="20"/>
          <w:vertAlign w:val="subscript"/>
        </w:rPr>
        <w:t>i</w:t>
      </w:r>
      <w:r w:rsidRPr="00B22F92">
        <w:rPr>
          <w:rFonts w:ascii="Arial" w:hAnsi="Arial" w:cs="Arial"/>
          <w:sz w:val="20"/>
          <w:szCs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B22F92" w:rsidRPr="00B22F92" w:rsidRDefault="00B22F92" w:rsidP="00B22F92">
      <w:pPr>
        <w:pStyle w:val="fp-2"/>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i</w:t>
      </w:r>
      <w:r w:rsidRPr="00B22F92">
        <w:rPr>
          <w:rFonts w:ascii="Arial" w:hAnsi="Arial" w:cs="Arial"/>
          <w:sz w:val="20"/>
          <w:szCs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 The maximum permitted velocity, V</w:t>
      </w:r>
      <w:r w:rsidRPr="00B22F92">
        <w:rPr>
          <w:rFonts w:ascii="Arial" w:hAnsi="Arial" w:cs="Arial"/>
          <w:sz w:val="20"/>
          <w:szCs w:val="20"/>
          <w:vertAlign w:val="subscript"/>
        </w:rPr>
        <w:t>max</w:t>
      </w:r>
      <w:r w:rsidRPr="00B22F92">
        <w:rPr>
          <w:rFonts w:ascii="Arial" w:hAnsi="Arial" w:cs="Arial"/>
          <w:sz w:val="20"/>
          <w:szCs w:val="20"/>
        </w:rPr>
        <w:t>, for flares complying with paragraph (c)(4)(iii) shall be determined by the following equation.</w:t>
      </w:r>
    </w:p>
    <w:p w:rsidR="00B22F92" w:rsidRPr="00B22F92" w:rsidRDefault="00B22F92" w:rsidP="00B22F92">
      <w:pPr>
        <w:pStyle w:val="fp-2"/>
        <w:rPr>
          <w:rFonts w:ascii="Arial" w:hAnsi="Arial" w:cs="Arial"/>
          <w:sz w:val="20"/>
          <w:szCs w:val="20"/>
        </w:rPr>
      </w:pPr>
      <w:r w:rsidRPr="00B22F92">
        <w:rPr>
          <w:rFonts w:ascii="Arial" w:hAnsi="Arial" w:cs="Arial"/>
          <w:sz w:val="20"/>
          <w:szCs w:val="20"/>
        </w:rPr>
        <w:lastRenderedPageBreak/>
        <w:t>Log</w:t>
      </w:r>
      <w:r w:rsidRPr="00B22F92">
        <w:rPr>
          <w:rFonts w:ascii="Arial" w:hAnsi="Arial" w:cs="Arial"/>
          <w:sz w:val="20"/>
          <w:szCs w:val="20"/>
          <w:vertAlign w:val="subscript"/>
        </w:rPr>
        <w:t>10</w:t>
      </w:r>
      <w:r w:rsidRPr="00B22F92">
        <w:rPr>
          <w:rFonts w:ascii="Arial" w:hAnsi="Arial" w:cs="Arial"/>
          <w:sz w:val="20"/>
          <w:szCs w:val="20"/>
        </w:rPr>
        <w:t xml:space="preserve"> (V</w:t>
      </w:r>
      <w:r w:rsidRPr="00B22F92">
        <w:rPr>
          <w:rFonts w:ascii="Arial" w:hAnsi="Arial" w:cs="Arial"/>
          <w:sz w:val="20"/>
          <w:szCs w:val="20"/>
          <w:vertAlign w:val="subscript"/>
        </w:rPr>
        <w:t>max</w:t>
      </w:r>
      <w:r w:rsidRPr="00B22F92">
        <w:rPr>
          <w:rFonts w:ascii="Arial" w:hAnsi="Arial" w:cs="Arial"/>
          <w:sz w:val="20"/>
          <w:szCs w:val="20"/>
        </w:rPr>
        <w:t>)=(H</w:t>
      </w:r>
      <w:r w:rsidRPr="00B22F92">
        <w:rPr>
          <w:rFonts w:ascii="Arial" w:hAnsi="Arial" w:cs="Arial"/>
          <w:sz w:val="20"/>
          <w:szCs w:val="20"/>
          <w:vertAlign w:val="subscript"/>
        </w:rPr>
        <w:t>T</w:t>
      </w:r>
      <w:r w:rsidRPr="00B22F92">
        <w:rPr>
          <w:rFonts w:ascii="Arial" w:hAnsi="Arial" w:cs="Arial"/>
          <w:sz w:val="20"/>
          <w:szCs w:val="20"/>
        </w:rPr>
        <w:t>+28.8)/31.7</w:t>
      </w:r>
    </w:p>
    <w:p w:rsidR="00B22F92" w:rsidRPr="00B22F92" w:rsidRDefault="00B22F92" w:rsidP="00B22F92">
      <w:pPr>
        <w:pStyle w:val="fp-2"/>
        <w:rPr>
          <w:rFonts w:ascii="Arial" w:hAnsi="Arial" w:cs="Arial"/>
          <w:sz w:val="20"/>
          <w:szCs w:val="20"/>
        </w:rPr>
      </w:pPr>
      <w:r w:rsidRPr="00B22F92">
        <w:rPr>
          <w:rFonts w:ascii="Arial" w:hAnsi="Arial" w:cs="Arial"/>
          <w:sz w:val="20"/>
          <w:szCs w:val="20"/>
        </w:rPr>
        <w:t>V</w:t>
      </w:r>
      <w:r w:rsidRPr="00B22F92">
        <w:rPr>
          <w:rFonts w:ascii="Arial" w:hAnsi="Arial" w:cs="Arial"/>
          <w:sz w:val="20"/>
          <w:szCs w:val="20"/>
          <w:vertAlign w:val="subscript"/>
        </w:rPr>
        <w:t>max</w:t>
      </w:r>
      <w:r w:rsidRPr="00B22F92">
        <w:rPr>
          <w:rFonts w:ascii="Arial" w:hAnsi="Arial" w:cs="Arial"/>
          <w:sz w:val="20"/>
          <w:szCs w:val="20"/>
        </w:rPr>
        <w:t xml:space="preserve"> = Maximum permitted velocity, M/sec</w:t>
      </w:r>
    </w:p>
    <w:p w:rsidR="00B22F92" w:rsidRPr="00B22F92" w:rsidRDefault="00B22F92" w:rsidP="00B22F92">
      <w:pPr>
        <w:pStyle w:val="fp-2"/>
        <w:rPr>
          <w:rFonts w:ascii="Arial" w:hAnsi="Arial" w:cs="Arial"/>
          <w:sz w:val="20"/>
          <w:szCs w:val="20"/>
        </w:rPr>
      </w:pPr>
      <w:r w:rsidRPr="00B22F92">
        <w:rPr>
          <w:rFonts w:ascii="Arial" w:hAnsi="Arial" w:cs="Arial"/>
          <w:sz w:val="20"/>
          <w:szCs w:val="20"/>
        </w:rPr>
        <w:t>28.8=Constant</w:t>
      </w:r>
    </w:p>
    <w:p w:rsidR="00B22F92" w:rsidRPr="00B22F92" w:rsidRDefault="00B22F92" w:rsidP="00B22F92">
      <w:pPr>
        <w:pStyle w:val="fp-2"/>
        <w:rPr>
          <w:rFonts w:ascii="Arial" w:hAnsi="Arial" w:cs="Arial"/>
          <w:sz w:val="20"/>
          <w:szCs w:val="20"/>
        </w:rPr>
      </w:pPr>
      <w:r w:rsidRPr="00B22F92">
        <w:rPr>
          <w:rFonts w:ascii="Arial" w:hAnsi="Arial" w:cs="Arial"/>
          <w:sz w:val="20"/>
          <w:szCs w:val="20"/>
        </w:rPr>
        <w:t>31.7=Constant</w:t>
      </w:r>
    </w:p>
    <w:p w:rsidR="00B22F92" w:rsidRPr="00B22F92" w:rsidRDefault="00B22F92" w:rsidP="00B22F92">
      <w:pPr>
        <w:pStyle w:val="fp-2"/>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T</w:t>
      </w:r>
      <w:r w:rsidRPr="00B22F92">
        <w:rPr>
          <w:rFonts w:ascii="Arial" w:hAnsi="Arial" w:cs="Arial"/>
          <w:sz w:val="20"/>
          <w:szCs w:val="20"/>
        </w:rPr>
        <w:t xml:space="preserve"> = The net heating value as determined in paragraph (f)(3).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 The maximum permitted velocity, V</w:t>
      </w:r>
      <w:r w:rsidRPr="00B22F92">
        <w:rPr>
          <w:rFonts w:ascii="Arial" w:hAnsi="Arial" w:cs="Arial"/>
          <w:sz w:val="20"/>
          <w:szCs w:val="20"/>
          <w:vertAlign w:val="subscript"/>
        </w:rPr>
        <w:t>max</w:t>
      </w:r>
      <w:r w:rsidRPr="00B22F92">
        <w:rPr>
          <w:rFonts w:ascii="Arial" w:hAnsi="Arial" w:cs="Arial"/>
          <w:sz w:val="20"/>
          <w:szCs w:val="20"/>
        </w:rPr>
        <w:t>, for air-assisted flares shall be determined by the following equation.</w:t>
      </w:r>
    </w:p>
    <w:p w:rsidR="00B22F92" w:rsidRPr="00B22F92" w:rsidRDefault="00B22F92" w:rsidP="00B22F92">
      <w:pPr>
        <w:pStyle w:val="fp-2"/>
        <w:rPr>
          <w:rFonts w:ascii="Arial" w:hAnsi="Arial" w:cs="Arial"/>
          <w:sz w:val="20"/>
          <w:szCs w:val="20"/>
        </w:rPr>
      </w:pPr>
      <w:r w:rsidRPr="00B22F92">
        <w:rPr>
          <w:rFonts w:ascii="Arial" w:hAnsi="Arial" w:cs="Arial"/>
          <w:sz w:val="20"/>
          <w:szCs w:val="20"/>
        </w:rPr>
        <w:t>V</w:t>
      </w:r>
      <w:r w:rsidRPr="00B22F92">
        <w:rPr>
          <w:rFonts w:ascii="Arial" w:hAnsi="Arial" w:cs="Arial"/>
          <w:sz w:val="20"/>
          <w:szCs w:val="20"/>
          <w:vertAlign w:val="subscript"/>
        </w:rPr>
        <w:t>max</w:t>
      </w:r>
      <w:r w:rsidRPr="00B22F92">
        <w:rPr>
          <w:rFonts w:ascii="Arial" w:hAnsi="Arial" w:cs="Arial"/>
          <w:sz w:val="20"/>
          <w:szCs w:val="20"/>
        </w:rPr>
        <w:t xml:space="preserve"> = 8.706+0.7084 (H</w:t>
      </w:r>
      <w:r w:rsidRPr="00B22F92">
        <w:rPr>
          <w:rFonts w:ascii="Arial" w:hAnsi="Arial" w:cs="Arial"/>
          <w:sz w:val="20"/>
          <w:szCs w:val="20"/>
          <w:vertAlign w:val="subscript"/>
        </w:rPr>
        <w:t>T</w:t>
      </w:r>
      <w:r w:rsidRPr="00B22F92">
        <w:rPr>
          <w:rFonts w:ascii="Arial" w:hAnsi="Arial" w:cs="Arial"/>
          <w:sz w:val="20"/>
          <w:szCs w:val="20"/>
        </w:rPr>
        <w:t>)</w:t>
      </w:r>
    </w:p>
    <w:p w:rsidR="00B22F92" w:rsidRPr="00B22F92" w:rsidRDefault="00B22F92" w:rsidP="00B22F92">
      <w:pPr>
        <w:pStyle w:val="fp-2"/>
        <w:rPr>
          <w:rFonts w:ascii="Arial" w:hAnsi="Arial" w:cs="Arial"/>
          <w:sz w:val="20"/>
          <w:szCs w:val="20"/>
        </w:rPr>
      </w:pPr>
      <w:r w:rsidRPr="00B22F92">
        <w:rPr>
          <w:rFonts w:ascii="Arial" w:hAnsi="Arial" w:cs="Arial"/>
          <w:sz w:val="20"/>
          <w:szCs w:val="20"/>
        </w:rPr>
        <w:t>V</w:t>
      </w:r>
      <w:r w:rsidRPr="00B22F92">
        <w:rPr>
          <w:rFonts w:ascii="Arial" w:hAnsi="Arial" w:cs="Arial"/>
          <w:sz w:val="20"/>
          <w:szCs w:val="20"/>
          <w:vertAlign w:val="subscript"/>
        </w:rPr>
        <w:t>max</w:t>
      </w:r>
      <w:r w:rsidRPr="00B22F92">
        <w:rPr>
          <w:rFonts w:ascii="Arial" w:hAnsi="Arial" w:cs="Arial"/>
          <w:sz w:val="20"/>
          <w:szCs w:val="20"/>
        </w:rPr>
        <w:t xml:space="preserve"> = Maximum permitted velocity, m/sec</w:t>
      </w:r>
    </w:p>
    <w:p w:rsidR="00B22F92" w:rsidRPr="00B22F92" w:rsidRDefault="00B22F92" w:rsidP="00B22F92">
      <w:pPr>
        <w:pStyle w:val="fp-2"/>
        <w:rPr>
          <w:rFonts w:ascii="Arial" w:hAnsi="Arial" w:cs="Arial"/>
          <w:sz w:val="20"/>
          <w:szCs w:val="20"/>
        </w:rPr>
      </w:pPr>
      <w:r w:rsidRPr="00B22F92">
        <w:rPr>
          <w:rFonts w:ascii="Arial" w:hAnsi="Arial" w:cs="Arial"/>
          <w:sz w:val="20"/>
          <w:szCs w:val="20"/>
        </w:rPr>
        <w:t>8.706=Constant</w:t>
      </w:r>
    </w:p>
    <w:p w:rsidR="00B22F92" w:rsidRPr="00B22F92" w:rsidRDefault="00B22F92" w:rsidP="00B22F92">
      <w:pPr>
        <w:pStyle w:val="fp-2"/>
        <w:rPr>
          <w:rFonts w:ascii="Arial" w:hAnsi="Arial" w:cs="Arial"/>
          <w:sz w:val="20"/>
          <w:szCs w:val="20"/>
        </w:rPr>
      </w:pPr>
      <w:r w:rsidRPr="00B22F92">
        <w:rPr>
          <w:rFonts w:ascii="Arial" w:hAnsi="Arial" w:cs="Arial"/>
          <w:sz w:val="20"/>
          <w:szCs w:val="20"/>
        </w:rPr>
        <w:t>0.7084=Constant</w:t>
      </w:r>
    </w:p>
    <w:p w:rsidR="00B22F92" w:rsidRPr="00B22F92" w:rsidRDefault="00B22F92" w:rsidP="00B22F92">
      <w:pPr>
        <w:pStyle w:val="fp-2"/>
        <w:rPr>
          <w:rFonts w:ascii="Arial" w:hAnsi="Arial" w:cs="Arial"/>
          <w:sz w:val="20"/>
          <w:szCs w:val="20"/>
        </w:rPr>
      </w:pPr>
      <w:r w:rsidRPr="00B22F92">
        <w:rPr>
          <w:rFonts w:ascii="Arial" w:hAnsi="Arial" w:cs="Arial"/>
          <w:sz w:val="20"/>
          <w:szCs w:val="20"/>
        </w:rPr>
        <w:t>H</w:t>
      </w:r>
      <w:r w:rsidRPr="00B22F92">
        <w:rPr>
          <w:rFonts w:ascii="Arial" w:hAnsi="Arial" w:cs="Arial"/>
          <w:sz w:val="20"/>
          <w:szCs w:val="20"/>
          <w:vertAlign w:val="subscript"/>
        </w:rPr>
        <w:t>T</w:t>
      </w:r>
      <w:r w:rsidRPr="00B22F92">
        <w:rPr>
          <w:rFonts w:ascii="Arial" w:hAnsi="Arial" w:cs="Arial"/>
          <w:sz w:val="20"/>
          <w:szCs w:val="20"/>
        </w:rPr>
        <w:t xml:space="preserve"> = The net heating value as determined in paragraph (f)(3).</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(g) </w:t>
      </w:r>
      <w:r w:rsidRPr="00B22F92">
        <w:rPr>
          <w:rFonts w:ascii="Arial" w:hAnsi="Arial" w:cs="Arial"/>
          <w:i/>
          <w:iCs/>
          <w:sz w:val="20"/>
          <w:szCs w:val="20"/>
        </w:rPr>
        <w:t>Alternative work practice for monitoring equipment for leaks.</w:t>
      </w:r>
      <w:r w:rsidRPr="00B22F92">
        <w:rPr>
          <w:rFonts w:ascii="Arial" w:hAnsi="Arial" w:cs="Arial"/>
          <w:sz w:val="20"/>
          <w:szCs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(1) </w:t>
      </w:r>
      <w:r w:rsidRPr="00B22F92">
        <w:rPr>
          <w:rFonts w:ascii="Arial" w:hAnsi="Arial" w:cs="Arial"/>
          <w:i/>
          <w:iCs/>
          <w:sz w:val="20"/>
          <w:szCs w:val="20"/>
        </w:rPr>
        <w:t>Applicable subpart</w:t>
      </w:r>
      <w:r w:rsidRPr="00B22F92">
        <w:rPr>
          <w:rFonts w:ascii="Arial" w:hAnsi="Arial" w:cs="Arial"/>
          <w:sz w:val="20"/>
          <w:szCs w:val="20"/>
        </w:rPr>
        <w:t xml:space="preserve"> means the subpart in 40 CFR parts 60, 61, 63, or 65 that requires monitoring of equipment with a 40 CFR part 60, Appendix A-7, Method 21 monitor.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w:t>
      </w:r>
      <w:r w:rsidRPr="00B22F92">
        <w:rPr>
          <w:rFonts w:ascii="Arial" w:hAnsi="Arial" w:cs="Arial"/>
          <w:i/>
          <w:iCs/>
          <w:sz w:val="20"/>
          <w:szCs w:val="20"/>
        </w:rPr>
        <w:t>Equipment</w:t>
      </w:r>
      <w:r w:rsidRPr="00B22F92">
        <w:rPr>
          <w:rFonts w:ascii="Arial" w:hAnsi="Arial" w:cs="Arial"/>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w:t>
      </w:r>
      <w:r w:rsidRPr="00B22F92">
        <w:rPr>
          <w:rFonts w:ascii="Arial" w:hAnsi="Arial" w:cs="Arial"/>
          <w:i/>
          <w:iCs/>
          <w:sz w:val="20"/>
          <w:szCs w:val="20"/>
        </w:rPr>
        <w:t>Imaging</w:t>
      </w:r>
      <w:r w:rsidRPr="00B22F92">
        <w:rPr>
          <w:rFonts w:ascii="Arial" w:hAnsi="Arial" w:cs="Arial"/>
          <w:sz w:val="20"/>
          <w:szCs w:val="20"/>
        </w:rPr>
        <w:t xml:space="preserve"> means making visible emissions that may otherwise be invisible to the naked eye.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w:t>
      </w:r>
      <w:r w:rsidRPr="00B22F92">
        <w:rPr>
          <w:rFonts w:ascii="Arial" w:hAnsi="Arial" w:cs="Arial"/>
          <w:i/>
          <w:iCs/>
          <w:sz w:val="20"/>
          <w:szCs w:val="20"/>
        </w:rPr>
        <w:t>Optical gas imaging instrument</w:t>
      </w:r>
      <w:r w:rsidRPr="00B22F92">
        <w:rPr>
          <w:rFonts w:ascii="Arial" w:hAnsi="Arial" w:cs="Arial"/>
          <w:sz w:val="20"/>
          <w:szCs w:val="20"/>
        </w:rPr>
        <w:t xml:space="preserve"> means an instrument that makes visible emissions that may otherwise be invisible to the naked eye.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w:t>
      </w:r>
      <w:r w:rsidRPr="00B22F92">
        <w:rPr>
          <w:rFonts w:ascii="Arial" w:hAnsi="Arial" w:cs="Arial"/>
          <w:i/>
          <w:iCs/>
          <w:sz w:val="20"/>
          <w:szCs w:val="20"/>
        </w:rPr>
        <w:t>Repair</w:t>
      </w:r>
      <w:r w:rsidRPr="00B22F92">
        <w:rPr>
          <w:rFonts w:ascii="Arial" w:hAnsi="Arial" w:cs="Arial"/>
          <w:sz w:val="20"/>
          <w:szCs w:val="20"/>
        </w:rPr>
        <w:t xml:space="preserve"> means that equipment is adjusted, or otherwise altered, in order to eliminate a leak.</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(6) </w:t>
      </w:r>
      <w:r w:rsidRPr="00B22F92">
        <w:rPr>
          <w:rFonts w:ascii="Arial" w:hAnsi="Arial" w:cs="Arial"/>
          <w:i/>
          <w:iCs/>
          <w:sz w:val="20"/>
          <w:szCs w:val="20"/>
        </w:rPr>
        <w:t>Leak</w:t>
      </w:r>
      <w:r w:rsidRPr="00B22F92">
        <w:rPr>
          <w:rFonts w:ascii="Arial" w:hAnsi="Arial" w:cs="Arial"/>
          <w:sz w:val="20"/>
          <w:szCs w:val="20"/>
        </w:rPr>
        <w:t xml:space="preserve"> means: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(i) Any emissions imaged by the optical gas instrument;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Indications of liquids dripping;</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Indications by a sensor that a seal or barrier fluid system has failed; 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(iv) Screening results using a 40 CFR part 60, Appendix A-7, Method 21 monitor that exceed the leak definition in the applicable subpart to which the equipment is subject.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(h) The alternative work practice standard for monitoring equipment for leaks is available to all subparts in 40 CFR parts 60, 61, 63, and 65 that require monitoring of equipment with a 40 CFR part 60, Appendix A-7, Method 21 monitor.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Any leak detected when following the leak survey procedure in paragraph (i)(3) of this section must be identified for repair as required in the applicable subpart.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The schedule for repair is as required in the applicable subpart.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(6) When this alternative work practice is used for detecting leaking equipment the following are not applicable for the equipment being monitored: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Skip period leak detection and repair;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Quality improvement plans; or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Complying with standards for allowable percentage of valves and pumps to leak.</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w:t>
      </w:r>
      <w:r w:rsidRPr="00B22F92">
        <w:rPr>
          <w:rFonts w:ascii="Arial" w:hAnsi="Arial" w:cs="Arial"/>
          <w:sz w:val="20"/>
          <w:szCs w:val="20"/>
        </w:rPr>
        <w:lastRenderedPageBreak/>
        <w:t>must keep records of the annual Method 21 screening results, as specified in paragraph (i)(4)(vii)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An owner or operator of an affected source who chooses to use the alternative work practice must comply with the requirements of paragraphs (i)(1) through (i)(5)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(1) Instrument Specifications. The optical gas imaging instrument must comply with the requirements in (i)(1)(i) and (i)(1)(ii)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Provide a date and time stamp for video records of every monitoring event.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Calculate the mass flow rate to be used in the daily instrument check by following the procedures in paragraphs (i)(2)(i)(A) and (i)(2)(i)(B)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B22F92" w:rsidRPr="00B22F92" w:rsidRDefault="00B22F92" w:rsidP="00B22F92">
      <w:pPr>
        <w:rPr>
          <w:rFonts w:ascii="Arial" w:hAnsi="Arial" w:cs="Arial"/>
          <w:sz w:val="20"/>
          <w:szCs w:val="20"/>
        </w:rPr>
      </w:pPr>
      <w:r w:rsidRPr="00B22F92">
        <w:rPr>
          <w:rFonts w:ascii="Arial" w:hAnsi="Arial" w:cs="Arial"/>
          <w:noProof/>
          <w:sz w:val="20"/>
          <w:szCs w:val="20"/>
        </w:rPr>
        <w:drawing>
          <wp:inline distT="0" distB="0" distL="0" distR="0">
            <wp:extent cx="819150" cy="340995"/>
            <wp:effectExtent l="0" t="0" r="0" b="0"/>
            <wp:docPr id="4" name="Picture 4"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22de08.007.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19150" cy="340995"/>
                    </a:xfrm>
                    <a:prstGeom prst="rect">
                      <a:avLst/>
                    </a:prstGeom>
                    <a:noFill/>
                    <a:ln>
                      <a:noFill/>
                    </a:ln>
                  </pic:spPr>
                </pic:pic>
              </a:graphicData>
            </a:graphic>
          </wp:inline>
        </w:drawing>
      </w:r>
    </w:p>
    <w:p w:rsidR="00B22F92" w:rsidRPr="00B22F92" w:rsidRDefault="008B0C90" w:rsidP="00B22F92">
      <w:pPr>
        <w:pStyle w:val="NormalWeb"/>
        <w:rPr>
          <w:rFonts w:ascii="Arial" w:hAnsi="Arial" w:cs="Arial"/>
          <w:sz w:val="20"/>
          <w:szCs w:val="20"/>
        </w:rPr>
      </w:pPr>
      <w:hyperlink r:id="rId54" w:history="1">
        <w:r w:rsidR="00B22F92" w:rsidRPr="00B22F92">
          <w:rPr>
            <w:rStyle w:val="Hyperlink"/>
            <w:sz w:val="20"/>
            <w:szCs w:val="20"/>
          </w:rPr>
          <w:t>View or download PDF</w:t>
        </w:r>
      </w:hyperlink>
    </w:p>
    <w:p w:rsidR="00B22F92" w:rsidRPr="00B22F92" w:rsidRDefault="00B22F92" w:rsidP="00B22F92">
      <w:pPr>
        <w:pStyle w:val="fp"/>
        <w:rPr>
          <w:rFonts w:ascii="Arial" w:hAnsi="Arial" w:cs="Arial"/>
          <w:sz w:val="20"/>
          <w:szCs w:val="20"/>
        </w:rPr>
      </w:pPr>
      <w:r w:rsidRPr="00B22F92">
        <w:rPr>
          <w:rFonts w:ascii="Arial" w:hAnsi="Arial" w:cs="Arial"/>
          <w:sz w:val="20"/>
          <w:szCs w:val="20"/>
        </w:rPr>
        <w:t>Where:</w:t>
      </w:r>
    </w:p>
    <w:p w:rsidR="00B22F92" w:rsidRPr="00B22F92" w:rsidRDefault="00B22F92" w:rsidP="00B22F92">
      <w:pPr>
        <w:pStyle w:val="fp-2"/>
        <w:rPr>
          <w:rFonts w:ascii="Arial" w:hAnsi="Arial" w:cs="Arial"/>
          <w:sz w:val="20"/>
          <w:szCs w:val="20"/>
        </w:rPr>
      </w:pPr>
      <w:r w:rsidRPr="00B22F92">
        <w:rPr>
          <w:rFonts w:ascii="Arial" w:hAnsi="Arial" w:cs="Arial"/>
          <w:sz w:val="20"/>
          <w:szCs w:val="20"/>
        </w:rPr>
        <w:t>E</w:t>
      </w:r>
      <w:r w:rsidRPr="00B22F92">
        <w:rPr>
          <w:rFonts w:ascii="Arial" w:hAnsi="Arial" w:cs="Arial"/>
          <w:sz w:val="20"/>
          <w:szCs w:val="20"/>
          <w:vertAlign w:val="subscript"/>
        </w:rPr>
        <w:t>dic</w:t>
      </w:r>
      <w:r w:rsidRPr="00B22F92">
        <w:rPr>
          <w:rFonts w:ascii="Arial" w:hAnsi="Arial" w:cs="Arial"/>
          <w:sz w:val="20"/>
          <w:szCs w:val="20"/>
        </w:rPr>
        <w:t xml:space="preserve"> = Mass flow rate for the daily instrument check, grams per hour </w:t>
      </w:r>
    </w:p>
    <w:p w:rsidR="00B22F92" w:rsidRPr="00B22F92" w:rsidRDefault="00B22F92" w:rsidP="00B22F92">
      <w:pPr>
        <w:pStyle w:val="fp-2"/>
        <w:rPr>
          <w:rFonts w:ascii="Arial" w:hAnsi="Arial" w:cs="Arial"/>
          <w:sz w:val="20"/>
          <w:szCs w:val="20"/>
        </w:rPr>
      </w:pPr>
      <w:r w:rsidRPr="00B22F92">
        <w:rPr>
          <w:rFonts w:ascii="Arial" w:hAnsi="Arial" w:cs="Arial"/>
          <w:sz w:val="20"/>
          <w:szCs w:val="20"/>
        </w:rPr>
        <w:t>x</w:t>
      </w:r>
      <w:r w:rsidRPr="00B22F92">
        <w:rPr>
          <w:rFonts w:ascii="Arial" w:hAnsi="Arial" w:cs="Arial"/>
          <w:sz w:val="20"/>
          <w:szCs w:val="20"/>
          <w:vertAlign w:val="subscript"/>
        </w:rPr>
        <w:t>i</w:t>
      </w:r>
      <w:r w:rsidRPr="00B22F92">
        <w:rPr>
          <w:rFonts w:ascii="Arial" w:hAnsi="Arial" w:cs="Arial"/>
          <w:sz w:val="20"/>
          <w:szCs w:val="20"/>
        </w:rPr>
        <w:t xml:space="preserve"> = Mass fraction of detectable chemical(s) i seen by the optical gas imaging instrument, within the distance to be used in paragraph (i)(2)(iv)(B) of this section, at or below the standard detection sensitivity level, E</w:t>
      </w:r>
      <w:r w:rsidRPr="00B22F92">
        <w:rPr>
          <w:rFonts w:ascii="Arial" w:hAnsi="Arial" w:cs="Arial"/>
          <w:sz w:val="20"/>
          <w:szCs w:val="20"/>
          <w:vertAlign w:val="subscript"/>
        </w:rPr>
        <w:t>sds.</w:t>
      </w:r>
    </w:p>
    <w:p w:rsidR="00B22F92" w:rsidRPr="00B22F92" w:rsidRDefault="00B22F92" w:rsidP="00B22F92">
      <w:pPr>
        <w:pStyle w:val="fp-2"/>
        <w:rPr>
          <w:rFonts w:ascii="Arial" w:hAnsi="Arial" w:cs="Arial"/>
          <w:sz w:val="20"/>
          <w:szCs w:val="20"/>
        </w:rPr>
      </w:pPr>
      <w:r w:rsidRPr="00B22F92">
        <w:rPr>
          <w:rFonts w:ascii="Arial" w:hAnsi="Arial" w:cs="Arial"/>
          <w:sz w:val="20"/>
          <w:szCs w:val="20"/>
        </w:rPr>
        <w:t>E</w:t>
      </w:r>
      <w:r w:rsidRPr="00B22F92">
        <w:rPr>
          <w:rFonts w:ascii="Arial" w:hAnsi="Arial" w:cs="Arial"/>
          <w:sz w:val="20"/>
          <w:szCs w:val="20"/>
          <w:vertAlign w:val="subscript"/>
        </w:rPr>
        <w:t>sds</w:t>
      </w:r>
      <w:r w:rsidRPr="00B22F92">
        <w:rPr>
          <w:rFonts w:ascii="Arial" w:hAnsi="Arial" w:cs="Arial"/>
          <w:sz w:val="20"/>
          <w:szCs w:val="20"/>
        </w:rPr>
        <w:t xml:space="preserve"> = Standard detection sensitivity level from Table 1 to subpart A, grams per hour </w:t>
      </w:r>
    </w:p>
    <w:p w:rsidR="00B22F92" w:rsidRPr="00B22F92" w:rsidRDefault="00B22F92" w:rsidP="00B22F92">
      <w:pPr>
        <w:pStyle w:val="fp-2"/>
        <w:rPr>
          <w:rFonts w:ascii="Arial" w:hAnsi="Arial" w:cs="Arial"/>
          <w:sz w:val="20"/>
          <w:szCs w:val="20"/>
        </w:rPr>
      </w:pPr>
      <w:r w:rsidRPr="00B22F92">
        <w:rPr>
          <w:rFonts w:ascii="Arial" w:hAnsi="Arial" w:cs="Arial"/>
          <w:sz w:val="20"/>
          <w:szCs w:val="20"/>
        </w:rPr>
        <w:lastRenderedPageBreak/>
        <w:t>k = Total number of detectable chemicals emitted from the leaking equipment and seen by the optical gas imaging instrument.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Start the optical gas imaging instrument according to the manufacturer's instructions, ensuring that all appropriate settings conform to the manufacturer's instructions.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Use any gas chosen by the user that can be viewed by the optical gas imaging instrument and that has a purity of no less than 98 percent.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(iv) Establish a mass flow rate by using the following procedures: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(A) Provide a source of gas where it will be in the field of view of the optical gas imaging instrument.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 Repeat the procedures specified in paragraphs (i)(2)(ii) through (i)(2)(iv) of this section for each configuration of the optical gas imaging instrument used during the leak survey.</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 To use an alternative method to demonstrate daily instrument checks, apply to the Administrator for approval of the alternative under §60.13(i).</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(4) Recordkeeping. You must keep the records described in paragraphs (i)(4)(i) through (i)(4)(vii)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 The equipment, processes, and facilities for which the owner or operator chooses to use the alternative work practice.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 The detection sensitivity level selected from Table 1 to subpart A of this part for the optical gas imaging instrument.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(iii) The analysis to determine the piece of equipment in contact with the lowest mass fraction of chemicals that are detectable, as specified in paragraph (i)(2)(i)(A)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(iv) The technical basis for the mass fraction of detectable chemicals used in the equation in paragraph (i)(2)(i)(B) of this section.</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(5) Reporting. Submit the reports required in the applicable subpart. Submit the records of the annual Method 21 screening required in paragraph (h)(7) of this section to the Administrator via e-mail to </w:t>
      </w:r>
      <w:r w:rsidRPr="00B22F92">
        <w:rPr>
          <w:rFonts w:ascii="Arial" w:hAnsi="Arial" w:cs="Arial"/>
          <w:i/>
          <w:iCs/>
          <w:sz w:val="20"/>
          <w:szCs w:val="20"/>
        </w:rPr>
        <w:t>CCG-AWP@EPA.GOV.</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[51 FR 2701, Jan. 21, 1986, as amended at 63 FR 24444, May 4, 1998; 65 FR 61752, Oct. 17, 2000; 73 FR 78209, Dec. 22, 2008]</w:t>
      </w:r>
    </w:p>
    <w:p w:rsidR="00B22F92" w:rsidRPr="00B22F92" w:rsidRDefault="008B0C90" w:rsidP="00B22F92">
      <w:pPr>
        <w:pStyle w:val="fp"/>
        <w:rPr>
          <w:rFonts w:ascii="Arial" w:hAnsi="Arial" w:cs="Arial"/>
          <w:sz w:val="20"/>
          <w:szCs w:val="20"/>
        </w:rPr>
      </w:pPr>
      <w:hyperlink r:id="rId55" w:anchor="_top" w:history="1">
        <w:r w:rsidR="00B22F92" w:rsidRPr="00B22F92">
          <w:rPr>
            <w:rFonts w:ascii="Arial" w:hAnsi="Arial" w:cs="Arial"/>
            <w:noProof/>
            <w:color w:val="0000FF"/>
            <w:sz w:val="20"/>
            <w:szCs w:val="20"/>
          </w:rPr>
          <w:drawing>
            <wp:inline distT="0" distB="0" distL="0" distR="0">
              <wp:extent cx="156845" cy="156845"/>
              <wp:effectExtent l="0" t="0" r="0" b="0"/>
              <wp:docPr id="3" name="Picture 3"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20" w:name="40:7.0.1.1.1.1.151.19"/>
      <w:bookmarkEnd w:id="20"/>
      <w:r w:rsidRPr="00B22F92">
        <w:rPr>
          <w:rFonts w:ascii="Arial" w:hAnsi="Arial" w:cs="Arial"/>
          <w:sz w:val="20"/>
          <w:szCs w:val="20"/>
        </w:rPr>
        <w:t>§60.19   General notification and reporting requirements.</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(a) For the purposes of this part, time periods specified in days shall be measured in calendar days, even if the word “calendar” is absent, unless otherwise specified in an applicable requirement.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lastRenderedPageBreak/>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(ii) An owner or operator shall request the adjustment provided for in paragraphs (f)(2) and (f)(3) of this section each time he or she wishes to change an applicable time period or postmark deadline specified in this part.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B22F92" w:rsidRPr="00B22F92" w:rsidRDefault="00B22F92" w:rsidP="00B22F92">
      <w:pPr>
        <w:pStyle w:val="NormalWeb"/>
        <w:rPr>
          <w:rFonts w:ascii="Arial" w:hAnsi="Arial" w:cs="Arial"/>
          <w:sz w:val="20"/>
          <w:szCs w:val="20"/>
        </w:rPr>
      </w:pPr>
      <w:r w:rsidRPr="00B22F92">
        <w:rPr>
          <w:rFonts w:ascii="Arial" w:hAnsi="Arial" w:cs="Arial"/>
          <w:sz w:val="20"/>
          <w:szCs w:val="20"/>
        </w:rPr>
        <w:t xml:space="preserve">(4) If the Administrator is unable to meet a specified deadline, he or she will notify the owner or operator of any significant delay and inform the owner or operator of the amended schedule. </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 xml:space="preserve">[59 FR 12428, Mar. 16, 1994, as amended at 64 FR 7463, Feb. 12, 1998] </w:t>
      </w:r>
    </w:p>
    <w:p w:rsidR="00B22F92" w:rsidRPr="00B22F92" w:rsidRDefault="008B0C90" w:rsidP="00B22F92">
      <w:pPr>
        <w:pStyle w:val="fp"/>
        <w:rPr>
          <w:rFonts w:ascii="Arial" w:hAnsi="Arial" w:cs="Arial"/>
          <w:sz w:val="20"/>
          <w:szCs w:val="20"/>
        </w:rPr>
      </w:pPr>
      <w:hyperlink r:id="rId56" w:anchor="_top" w:history="1">
        <w:r w:rsidR="00B22F92" w:rsidRPr="00B22F92">
          <w:rPr>
            <w:rFonts w:ascii="Arial" w:hAnsi="Arial" w:cs="Arial"/>
            <w:noProof/>
            <w:color w:val="0000FF"/>
            <w:sz w:val="20"/>
            <w:szCs w:val="20"/>
          </w:rPr>
          <w:drawing>
            <wp:inline distT="0" distB="0" distL="0" distR="0">
              <wp:extent cx="156845" cy="156845"/>
              <wp:effectExtent l="0" t="0" r="0" b="0"/>
              <wp:docPr id="2" name="Picture 2"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p w:rsidR="00B22F92" w:rsidRPr="00B22F92" w:rsidRDefault="00B22F92" w:rsidP="00B22F92">
      <w:pPr>
        <w:pStyle w:val="Heading2"/>
        <w:jc w:val="left"/>
        <w:rPr>
          <w:rFonts w:ascii="Arial" w:hAnsi="Arial" w:cs="Arial"/>
          <w:sz w:val="20"/>
          <w:szCs w:val="20"/>
        </w:rPr>
      </w:pPr>
      <w:bookmarkStart w:id="21" w:name="40:7.0.1.1.1.1.151.20.1"/>
      <w:bookmarkEnd w:id="21"/>
      <w:r w:rsidRPr="00B22F92">
        <w:rPr>
          <w:rFonts w:ascii="Arial" w:hAnsi="Arial" w:cs="Arial"/>
          <w:sz w:val="20"/>
          <w:szCs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367"/>
        <w:gridCol w:w="4023"/>
      </w:tblGrid>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lastRenderedPageBreak/>
              <w:t>Monitoring frequency per subpart</w:t>
            </w:r>
            <w:r w:rsidRPr="00B22F92">
              <w:rPr>
                <w:rFonts w:ascii="Arial" w:hAnsi="Arial" w:cs="Arial"/>
                <w:b/>
                <w:bCs/>
                <w:sz w:val="20"/>
                <w:szCs w:val="20"/>
                <w:vertAlign w:val="superscript"/>
              </w:rPr>
              <w:t>a</w:t>
            </w:r>
            <w:r w:rsidRPr="00B22F92">
              <w:rPr>
                <w:rFonts w:ascii="Arial"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2F92" w:rsidRPr="00B22F92" w:rsidRDefault="00B22F92" w:rsidP="00B22F92">
            <w:pPr>
              <w:rPr>
                <w:rFonts w:ascii="Arial" w:hAnsi="Arial" w:cs="Arial"/>
                <w:b/>
                <w:bCs/>
                <w:sz w:val="20"/>
                <w:szCs w:val="20"/>
              </w:rPr>
            </w:pPr>
            <w:r w:rsidRPr="00B22F92">
              <w:rPr>
                <w:rFonts w:ascii="Arial" w:hAnsi="Arial" w:cs="Arial"/>
                <w:b/>
                <w:bCs/>
                <w:sz w:val="20"/>
                <w:szCs w:val="20"/>
              </w:rPr>
              <w:t xml:space="preserve">Detection sensitivity level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60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85 </w:t>
            </w:r>
          </w:p>
        </w:tc>
      </w:tr>
      <w:tr w:rsidR="00B22F92" w:rsidRPr="00B22F92" w:rsidTr="00B22F9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B22F92" w:rsidRPr="00B22F92" w:rsidRDefault="00B22F92" w:rsidP="00B22F92">
            <w:pPr>
              <w:rPr>
                <w:rFonts w:ascii="Arial" w:hAnsi="Arial" w:cs="Arial"/>
                <w:sz w:val="20"/>
                <w:szCs w:val="20"/>
              </w:rPr>
            </w:pPr>
            <w:r w:rsidRPr="00B22F92">
              <w:rPr>
                <w:rFonts w:ascii="Arial" w:hAnsi="Arial" w:cs="Arial"/>
                <w:sz w:val="20"/>
                <w:szCs w:val="20"/>
              </w:rPr>
              <w:t xml:space="preserve">100 </w:t>
            </w:r>
          </w:p>
        </w:tc>
      </w:tr>
    </w:tbl>
    <w:p w:rsidR="00B22F92" w:rsidRPr="00B22F92" w:rsidRDefault="00B22F92" w:rsidP="00B22F92">
      <w:pPr>
        <w:pStyle w:val="gpotblnote"/>
        <w:rPr>
          <w:rFonts w:ascii="Arial" w:hAnsi="Arial" w:cs="Arial"/>
          <w:sz w:val="20"/>
          <w:szCs w:val="20"/>
        </w:rPr>
      </w:pPr>
      <w:r w:rsidRPr="00B22F92">
        <w:rPr>
          <w:rFonts w:ascii="Arial" w:hAnsi="Arial" w:cs="Arial"/>
          <w:sz w:val="20"/>
          <w:szCs w:val="20"/>
          <w:vertAlign w:val="superscript"/>
        </w:rPr>
        <w:t>a</w:t>
      </w:r>
      <w:r w:rsidRPr="00B22F92">
        <w:rPr>
          <w:rFonts w:ascii="Arial" w:hAnsi="Arial" w:cs="Arial"/>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B22F92" w:rsidRPr="00B22F92" w:rsidRDefault="00B22F92" w:rsidP="00B22F92">
      <w:pPr>
        <w:pStyle w:val="cita"/>
        <w:rPr>
          <w:rFonts w:ascii="Arial" w:hAnsi="Arial" w:cs="Arial"/>
          <w:sz w:val="20"/>
          <w:szCs w:val="20"/>
        </w:rPr>
      </w:pPr>
      <w:r w:rsidRPr="00B22F92">
        <w:rPr>
          <w:rFonts w:ascii="Arial" w:hAnsi="Arial" w:cs="Arial"/>
          <w:sz w:val="20"/>
          <w:szCs w:val="20"/>
        </w:rPr>
        <w:t>[73 FR 78211, Dec. 22, 2008]</w:t>
      </w:r>
    </w:p>
    <w:p w:rsidR="004D7A00" w:rsidRPr="00B22F92" w:rsidRDefault="008B0C90" w:rsidP="00B22F92">
      <w:pPr>
        <w:rPr>
          <w:sz w:val="20"/>
          <w:szCs w:val="20"/>
        </w:rPr>
      </w:pPr>
      <w:hyperlink r:id="rId57" w:anchor="_top" w:history="1">
        <w:r w:rsidR="00B22F92" w:rsidRPr="00B22F92">
          <w:rPr>
            <w:rFonts w:ascii="Arial" w:hAnsi="Arial" w:cs="Arial"/>
            <w:noProof/>
            <w:color w:val="0000FF"/>
            <w:sz w:val="20"/>
            <w:szCs w:val="20"/>
          </w:rPr>
          <w:drawing>
            <wp:inline distT="0" distB="0" distL="0" distR="0">
              <wp:extent cx="156845" cy="156845"/>
              <wp:effectExtent l="0" t="0" r="0" b="0"/>
              <wp:docPr id="1" name="Picture 1"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turn arrow">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B22F92" w:rsidRPr="00B22F92">
          <w:rPr>
            <w:rStyle w:val="Hyperlink"/>
            <w:sz w:val="20"/>
            <w:szCs w:val="20"/>
          </w:rPr>
          <w:t>Back to Top</w:t>
        </w:r>
      </w:hyperlink>
    </w:p>
    <w:sectPr w:rsidR="004D7A00" w:rsidRPr="00B22F92" w:rsidSect="004D7A00">
      <w:headerReference w:type="default" r:id="rId58"/>
      <w:footerReference w:type="default" r:id="rId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5A0" w:rsidRDefault="00F745A0" w:rsidP="00CE4451">
      <w:pPr>
        <w:spacing w:after="0" w:line="240" w:lineRule="auto"/>
      </w:pPr>
      <w:r>
        <w:separator/>
      </w:r>
    </w:p>
  </w:endnote>
  <w:endnote w:type="continuationSeparator" w:id="0">
    <w:p w:rsidR="00F745A0" w:rsidRDefault="00F745A0" w:rsidP="00CE4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5417061"/>
      <w:docPartObj>
        <w:docPartGallery w:val="Page Numbers (Bottom of Page)"/>
        <w:docPartUnique/>
      </w:docPartObj>
    </w:sdtPr>
    <w:sdtEndPr>
      <w:rPr>
        <w:noProof/>
      </w:rPr>
    </w:sdtEndPr>
    <w:sdtContent>
      <w:p w:rsidR="00B22F92" w:rsidRDefault="00B22F92">
        <w:pPr>
          <w:pStyle w:val="Footer"/>
          <w:jc w:val="center"/>
        </w:pPr>
        <w:r>
          <w:fldChar w:fldCharType="begin"/>
        </w:r>
        <w:r>
          <w:instrText xml:space="preserve"> PAGE   \* MERGEFORMAT </w:instrText>
        </w:r>
        <w:r>
          <w:fldChar w:fldCharType="separate"/>
        </w:r>
        <w:r w:rsidR="008B0C90">
          <w:rPr>
            <w:noProof/>
          </w:rPr>
          <w:t>1</w:t>
        </w:r>
        <w:r>
          <w:rPr>
            <w:noProof/>
          </w:rPr>
          <w:fldChar w:fldCharType="end"/>
        </w:r>
      </w:p>
    </w:sdtContent>
  </w:sdt>
  <w:p w:rsidR="004C5D50" w:rsidRDefault="004C5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5A0" w:rsidRDefault="00F745A0" w:rsidP="00CE4451">
      <w:pPr>
        <w:spacing w:after="0" w:line="240" w:lineRule="auto"/>
      </w:pPr>
      <w:r>
        <w:separator/>
      </w:r>
    </w:p>
  </w:footnote>
  <w:footnote w:type="continuationSeparator" w:id="0">
    <w:p w:rsidR="00F745A0" w:rsidRDefault="00F745A0" w:rsidP="00CE44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451" w:rsidRPr="00076F67" w:rsidRDefault="00CE4451" w:rsidP="00CE4451">
    <w:pPr>
      <w:pStyle w:val="Header"/>
      <w:pBdr>
        <w:bottom w:val="single" w:sz="4" w:space="1" w:color="auto"/>
      </w:pBdr>
      <w:jc w:val="center"/>
      <w:rPr>
        <w:rFonts w:ascii="Book Antiqua" w:hAnsi="Book Antiqua"/>
        <w:b/>
        <w:caps/>
      </w:rPr>
    </w:pPr>
    <w:r w:rsidRPr="00076F67">
      <w:rPr>
        <w:rFonts w:ascii="Book Antiqua" w:hAnsi="Book Antiqua"/>
        <w:b/>
        <w:caps/>
      </w:rPr>
      <w:t xml:space="preserve">  </w:t>
    </w:r>
  </w:p>
  <w:p w:rsidR="00CE4451" w:rsidRPr="001C1C88" w:rsidRDefault="004C5D50" w:rsidP="00B0495A">
    <w:pPr>
      <w:pBdr>
        <w:bottom w:val="single" w:sz="4" w:space="1" w:color="auto"/>
      </w:pBdr>
      <w:jc w:val="center"/>
      <w:rPr>
        <w:b/>
        <w:smallCaps/>
      </w:rPr>
    </w:pPr>
    <w:r w:rsidRPr="004C5D50">
      <w:rPr>
        <w:rFonts w:ascii="Book Antiqua" w:hAnsi="Book Antiqua"/>
        <w:b/>
        <w:caps/>
      </w:rPr>
      <w:t>Section 4.</w:t>
    </w:r>
    <w:r>
      <w:rPr>
        <w:b/>
        <w:caps/>
        <w:sz w:val="20"/>
        <w:szCs w:val="20"/>
      </w:rPr>
      <w:t xml:space="preserve">  </w:t>
    </w:r>
    <w:r w:rsidR="00CE4451" w:rsidRPr="001450C1">
      <w:rPr>
        <w:rFonts w:ascii="Book Antiqua" w:hAnsi="Book Antiqua"/>
        <w:b/>
        <w:smallCaps/>
      </w:rPr>
      <w:t>A</w:t>
    </w:r>
    <w:r w:rsidR="00CE4451">
      <w:rPr>
        <w:rFonts w:ascii="Book Antiqua" w:hAnsi="Book Antiqua"/>
        <w:b/>
        <w:smallCaps/>
      </w:rPr>
      <w:t xml:space="preserve">PPENDIX </w:t>
    </w:r>
    <w:r w:rsidR="008B0C90">
      <w:rPr>
        <w:rFonts w:ascii="Book Antiqua" w:hAnsi="Book Antiqua"/>
        <w:b/>
        <w:smallCaps/>
      </w:rPr>
      <w:t>E</w:t>
    </w:r>
  </w:p>
  <w:p w:rsidR="00CE4451" w:rsidRPr="001450C1" w:rsidRDefault="00CE4451" w:rsidP="00CE4451">
    <w:pPr>
      <w:tabs>
        <w:tab w:val="left" w:pos="720"/>
      </w:tabs>
      <w:ind w:left="540" w:hanging="540"/>
      <w:jc w:val="center"/>
      <w:rPr>
        <w:rFonts w:ascii="Book Antiqua" w:hAnsi="Book Antiqua"/>
        <w:b/>
        <w:caps/>
      </w:rPr>
    </w:pPr>
    <w:r>
      <w:rPr>
        <w:rFonts w:ascii="Book Antiqua" w:hAnsi="Book Antiqua"/>
        <w:b/>
        <w:smallCaps/>
      </w:rPr>
      <w:t>40 CFR 60,</w:t>
    </w:r>
    <w:r w:rsidRPr="001450C1">
      <w:rPr>
        <w:rFonts w:ascii="Book Antiqua" w:hAnsi="Book Antiqua"/>
        <w:b/>
        <w:smallCaps/>
      </w:rPr>
      <w:t xml:space="preserve"> </w:t>
    </w:r>
    <w:r>
      <w:rPr>
        <w:rFonts w:ascii="Book Antiqua" w:hAnsi="Book Antiqua"/>
        <w:b/>
        <w:smallCaps/>
      </w:rPr>
      <w:t>SUBPART</w:t>
    </w:r>
    <w:r w:rsidRPr="001450C1">
      <w:rPr>
        <w:rFonts w:ascii="Book Antiqua" w:hAnsi="Book Antiqua"/>
        <w:b/>
        <w:smallCaps/>
      </w:rPr>
      <w:t xml:space="preserve"> A</w:t>
    </w:r>
    <w:r>
      <w:rPr>
        <w:rFonts w:ascii="Book Antiqua" w:hAnsi="Book Antiqua"/>
        <w:b/>
        <w:smallCaps/>
      </w:rPr>
      <w:t xml:space="preserve">, </w:t>
    </w:r>
    <w:r w:rsidRPr="001450C1">
      <w:rPr>
        <w:rFonts w:ascii="Book Antiqua" w:hAnsi="Book Antiqua"/>
        <w:b/>
        <w:caps/>
      </w:rPr>
      <w:t>General Provisions</w:t>
    </w:r>
  </w:p>
  <w:p w:rsidR="00CE4451" w:rsidRDefault="00CE44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C342CD"/>
    <w:rsid w:val="00080AD1"/>
    <w:rsid w:val="001C28D2"/>
    <w:rsid w:val="00243D64"/>
    <w:rsid w:val="002515C4"/>
    <w:rsid w:val="002B336F"/>
    <w:rsid w:val="00300CD8"/>
    <w:rsid w:val="003058D3"/>
    <w:rsid w:val="004C5D50"/>
    <w:rsid w:val="004D7A00"/>
    <w:rsid w:val="0051487C"/>
    <w:rsid w:val="005442ED"/>
    <w:rsid w:val="006178F9"/>
    <w:rsid w:val="006C6BBA"/>
    <w:rsid w:val="00715E8D"/>
    <w:rsid w:val="00734874"/>
    <w:rsid w:val="00837F2E"/>
    <w:rsid w:val="008B06ED"/>
    <w:rsid w:val="008B0C90"/>
    <w:rsid w:val="00925600"/>
    <w:rsid w:val="009F616B"/>
    <w:rsid w:val="009F6E6E"/>
    <w:rsid w:val="00A86249"/>
    <w:rsid w:val="00B0495A"/>
    <w:rsid w:val="00B22F92"/>
    <w:rsid w:val="00C24500"/>
    <w:rsid w:val="00C342CD"/>
    <w:rsid w:val="00CE4451"/>
    <w:rsid w:val="00DD7A8A"/>
    <w:rsid w:val="00F74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409DD50-8FBE-4A74-A919-B56A7A32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A00"/>
  </w:style>
  <w:style w:type="paragraph" w:styleId="Heading1">
    <w:name w:val="heading 1"/>
    <w:basedOn w:val="Normal"/>
    <w:link w:val="Heading1Char"/>
    <w:uiPriority w:val="9"/>
    <w:qFormat/>
    <w:rsid w:val="00C342CD"/>
    <w:pPr>
      <w:spacing w:before="200" w:after="100" w:line="240" w:lineRule="auto"/>
      <w:jc w:val="center"/>
      <w:outlineLvl w:val="0"/>
    </w:pPr>
    <w:rPr>
      <w:rFonts w:ascii="Times New Roman" w:eastAsia="Times New Roman" w:hAnsi="Times New Roman" w:cs="Times New Roman"/>
      <w:b/>
      <w:bCs/>
      <w:kern w:val="36"/>
      <w:sz w:val="14"/>
      <w:szCs w:val="14"/>
    </w:rPr>
  </w:style>
  <w:style w:type="paragraph" w:styleId="Heading2">
    <w:name w:val="heading 2"/>
    <w:basedOn w:val="Normal"/>
    <w:link w:val="Heading2Char"/>
    <w:uiPriority w:val="9"/>
    <w:qFormat/>
    <w:rsid w:val="00C342CD"/>
    <w:pPr>
      <w:spacing w:before="200" w:after="100" w:line="240" w:lineRule="auto"/>
      <w:jc w:val="center"/>
      <w:outlineLvl w:val="1"/>
    </w:pPr>
    <w:rPr>
      <w:rFonts w:ascii="Times New Roman" w:eastAsia="Times New Roman" w:hAnsi="Times New Roman" w:cs="Times New Roman"/>
      <w:b/>
      <w:bCs/>
      <w:sz w:val="14"/>
      <w:szCs w:val="14"/>
    </w:rPr>
  </w:style>
  <w:style w:type="paragraph" w:styleId="Heading3">
    <w:name w:val="heading 3"/>
    <w:basedOn w:val="Normal"/>
    <w:link w:val="Heading3Char"/>
    <w:uiPriority w:val="9"/>
    <w:qFormat/>
    <w:rsid w:val="00C342CD"/>
    <w:pPr>
      <w:spacing w:before="200" w:after="100" w:line="240" w:lineRule="auto"/>
      <w:jc w:val="center"/>
      <w:outlineLvl w:val="2"/>
    </w:pPr>
    <w:rPr>
      <w:rFonts w:ascii="Times New Roman" w:eastAsia="Times New Roman" w:hAnsi="Times New Roman" w:cs="Times New Roman"/>
      <w:b/>
      <w:bCs/>
      <w:sz w:val="14"/>
      <w:szCs w:val="14"/>
    </w:rPr>
  </w:style>
  <w:style w:type="paragraph" w:styleId="Heading4">
    <w:name w:val="heading 4"/>
    <w:basedOn w:val="Normal"/>
    <w:link w:val="Heading4Char"/>
    <w:uiPriority w:val="9"/>
    <w:qFormat/>
    <w:rsid w:val="00C342CD"/>
    <w:pPr>
      <w:spacing w:before="200" w:after="100" w:line="240" w:lineRule="auto"/>
      <w:jc w:val="center"/>
      <w:outlineLvl w:val="3"/>
    </w:pPr>
    <w:rPr>
      <w:rFonts w:ascii="Times New Roman" w:eastAsia="Times New Roman" w:hAnsi="Times New Roman" w:cs="Times New Roman"/>
      <w:b/>
      <w:bCs/>
      <w:sz w:val="14"/>
      <w:szCs w:val="14"/>
    </w:rPr>
  </w:style>
  <w:style w:type="paragraph" w:styleId="Heading5">
    <w:name w:val="heading 5"/>
    <w:basedOn w:val="Normal"/>
    <w:link w:val="Heading5Char"/>
    <w:uiPriority w:val="9"/>
    <w:qFormat/>
    <w:rsid w:val="00C342CD"/>
    <w:pPr>
      <w:spacing w:before="200" w:after="100" w:line="240" w:lineRule="auto"/>
      <w:jc w:val="center"/>
      <w:outlineLvl w:val="4"/>
    </w:pPr>
    <w:rPr>
      <w:rFonts w:ascii="Times New Roman" w:eastAsia="Times New Roman" w:hAnsi="Times New Roman" w:cs="Times New Roman"/>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42CD"/>
    <w:rPr>
      <w:rFonts w:ascii="Times New Roman" w:eastAsia="Times New Roman" w:hAnsi="Times New Roman" w:cs="Times New Roman"/>
      <w:b/>
      <w:bCs/>
      <w:sz w:val="14"/>
      <w:szCs w:val="14"/>
    </w:rPr>
  </w:style>
  <w:style w:type="character" w:styleId="Hyperlink">
    <w:name w:val="Hyperlink"/>
    <w:basedOn w:val="DefaultParagraphFont"/>
    <w:uiPriority w:val="99"/>
    <w:semiHidden/>
    <w:unhideWhenUsed/>
    <w:rsid w:val="00C342CD"/>
    <w:rPr>
      <w:rFonts w:ascii="Arial" w:hAnsi="Arial" w:cs="Arial" w:hint="default"/>
      <w:strike w:val="0"/>
      <w:dstrike w:val="0"/>
      <w:color w:val="0000FF"/>
      <w:sz w:val="12"/>
      <w:szCs w:val="12"/>
      <w:u w:val="none"/>
      <w:effect w:val="none"/>
    </w:rPr>
  </w:style>
  <w:style w:type="paragraph" w:styleId="NormalWeb">
    <w:name w:val="Normal (Web)"/>
    <w:basedOn w:val="Normal"/>
    <w:uiPriority w:val="99"/>
    <w:semiHidden/>
    <w:unhideWhenUsed/>
    <w:rsid w:val="00C342C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C342CD"/>
    <w:pPr>
      <w:spacing w:before="200" w:after="100" w:afterAutospacing="1" w:line="240" w:lineRule="auto"/>
    </w:pPr>
    <w:rPr>
      <w:rFonts w:ascii="Times New Roman" w:eastAsia="Times New Roman" w:hAnsi="Times New Roman" w:cs="Times New Roman"/>
      <w:sz w:val="24"/>
      <w:szCs w:val="24"/>
    </w:rPr>
  </w:style>
  <w:style w:type="paragraph" w:customStyle="1" w:styleId="cita">
    <w:name w:val="cita"/>
    <w:basedOn w:val="Normal"/>
    <w:rsid w:val="00C342CD"/>
    <w:pPr>
      <w:spacing w:before="200" w:after="100" w:afterAutospacing="1" w:line="240" w:lineRule="auto"/>
    </w:pPr>
    <w:rPr>
      <w:rFonts w:ascii="Times New Roman" w:eastAsia="Times New Roman" w:hAnsi="Times New Roman" w:cs="Times New Roman"/>
      <w:sz w:val="13"/>
      <w:szCs w:val="13"/>
    </w:rPr>
  </w:style>
  <w:style w:type="paragraph" w:customStyle="1" w:styleId="fp-1">
    <w:name w:val="fp-1"/>
    <w:basedOn w:val="Normal"/>
    <w:rsid w:val="00C342CD"/>
    <w:pPr>
      <w:spacing w:before="200" w:after="100" w:line="240" w:lineRule="auto"/>
      <w:ind w:left="480" w:hanging="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342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2CD"/>
    <w:rPr>
      <w:rFonts w:ascii="Tahoma" w:hAnsi="Tahoma" w:cs="Tahoma"/>
      <w:sz w:val="16"/>
      <w:szCs w:val="16"/>
    </w:rPr>
  </w:style>
  <w:style w:type="character" w:customStyle="1" w:styleId="Heading1Char">
    <w:name w:val="Heading 1 Char"/>
    <w:basedOn w:val="DefaultParagraphFont"/>
    <w:link w:val="Heading1"/>
    <w:uiPriority w:val="9"/>
    <w:rsid w:val="00C342CD"/>
    <w:rPr>
      <w:rFonts w:ascii="Times New Roman" w:eastAsia="Times New Roman" w:hAnsi="Times New Roman" w:cs="Times New Roman"/>
      <w:b/>
      <w:bCs/>
      <w:kern w:val="36"/>
      <w:sz w:val="14"/>
      <w:szCs w:val="14"/>
    </w:rPr>
  </w:style>
  <w:style w:type="character" w:customStyle="1" w:styleId="Heading3Char">
    <w:name w:val="Heading 3 Char"/>
    <w:basedOn w:val="DefaultParagraphFont"/>
    <w:link w:val="Heading3"/>
    <w:uiPriority w:val="9"/>
    <w:rsid w:val="00C342CD"/>
    <w:rPr>
      <w:rFonts w:ascii="Times New Roman" w:eastAsia="Times New Roman" w:hAnsi="Times New Roman" w:cs="Times New Roman"/>
      <w:b/>
      <w:bCs/>
      <w:sz w:val="14"/>
      <w:szCs w:val="14"/>
    </w:rPr>
  </w:style>
  <w:style w:type="character" w:customStyle="1" w:styleId="Heading4Char">
    <w:name w:val="Heading 4 Char"/>
    <w:basedOn w:val="DefaultParagraphFont"/>
    <w:link w:val="Heading4"/>
    <w:uiPriority w:val="9"/>
    <w:rsid w:val="00C342CD"/>
    <w:rPr>
      <w:rFonts w:ascii="Times New Roman" w:eastAsia="Times New Roman" w:hAnsi="Times New Roman" w:cs="Times New Roman"/>
      <w:b/>
      <w:bCs/>
      <w:sz w:val="14"/>
      <w:szCs w:val="14"/>
    </w:rPr>
  </w:style>
  <w:style w:type="character" w:customStyle="1" w:styleId="Heading5Char">
    <w:name w:val="Heading 5 Char"/>
    <w:basedOn w:val="DefaultParagraphFont"/>
    <w:link w:val="Heading5"/>
    <w:uiPriority w:val="9"/>
    <w:rsid w:val="00C342CD"/>
    <w:rPr>
      <w:rFonts w:ascii="Times New Roman" w:eastAsia="Times New Roman" w:hAnsi="Times New Roman" w:cs="Times New Roman"/>
      <w:b/>
      <w:bCs/>
      <w:sz w:val="14"/>
      <w:szCs w:val="14"/>
    </w:rPr>
  </w:style>
  <w:style w:type="paragraph" w:styleId="Header">
    <w:name w:val="header"/>
    <w:basedOn w:val="Normal"/>
    <w:link w:val="HeaderChar"/>
    <w:unhideWhenUsed/>
    <w:rsid w:val="00CE4451"/>
    <w:pPr>
      <w:tabs>
        <w:tab w:val="center" w:pos="4680"/>
        <w:tab w:val="right" w:pos="9360"/>
      </w:tabs>
      <w:spacing w:after="0" w:line="240" w:lineRule="auto"/>
    </w:pPr>
  </w:style>
  <w:style w:type="character" w:customStyle="1" w:styleId="HeaderChar">
    <w:name w:val="Header Char"/>
    <w:basedOn w:val="DefaultParagraphFont"/>
    <w:link w:val="Header"/>
    <w:rsid w:val="00CE4451"/>
  </w:style>
  <w:style w:type="paragraph" w:styleId="Footer">
    <w:name w:val="footer"/>
    <w:basedOn w:val="Normal"/>
    <w:link w:val="FooterChar"/>
    <w:uiPriority w:val="99"/>
    <w:unhideWhenUsed/>
    <w:rsid w:val="00CE44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451"/>
  </w:style>
  <w:style w:type="character" w:styleId="FollowedHyperlink">
    <w:name w:val="FollowedHyperlink"/>
    <w:basedOn w:val="DefaultParagraphFont"/>
    <w:uiPriority w:val="99"/>
    <w:semiHidden/>
    <w:unhideWhenUsed/>
    <w:rsid w:val="00B22F92"/>
    <w:rPr>
      <w:rFonts w:ascii="Arial" w:hAnsi="Arial" w:cs="Arial" w:hint="default"/>
      <w:strike w:val="0"/>
      <w:dstrike w:val="0"/>
      <w:color w:val="800080"/>
      <w:sz w:val="17"/>
      <w:szCs w:val="17"/>
      <w:u w:val="none"/>
      <w:effect w:val="none"/>
    </w:rPr>
  </w:style>
  <w:style w:type="paragraph" w:customStyle="1" w:styleId="fullcenter">
    <w:name w:val="fullcenter"/>
    <w:basedOn w:val="Normal"/>
    <w:rsid w:val="00B22F9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B22F9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B22F9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B22F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B22F92"/>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B22F92"/>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B22F92"/>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B22F92"/>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B22F92"/>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B22F92"/>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B22F92"/>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B22F92"/>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B22F92"/>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B22F92"/>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B22F92"/>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B22F92"/>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B22F92"/>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B22F92"/>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B22F92"/>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B22F92"/>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B22F92"/>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B22F92"/>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B22F92"/>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B22F92"/>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B22F92"/>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B22F92"/>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B22F92"/>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B22F92"/>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B22F92"/>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B22F92"/>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B22F92"/>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B22F92"/>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B22F92"/>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B22F92"/>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B22F92"/>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contentsp">
    <w:name w:val="contentsp"/>
    <w:basedOn w:val="Normal"/>
    <w:rsid w:val="00B22F92"/>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B22F92"/>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B22F9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B22F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appro">
    <w:name w:val="appro"/>
    <w:basedOn w:val="Normal"/>
    <w:rsid w:val="00B22F92"/>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B22F92"/>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B22F92"/>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B22F92"/>
    <w:pPr>
      <w:spacing w:before="200" w:after="100" w:afterAutospacing="1" w:line="240" w:lineRule="auto"/>
    </w:pPr>
    <w:rPr>
      <w:rFonts w:ascii="Times New Roman" w:eastAsia="Times New Roman" w:hAnsi="Times New Roman" w:cs="Times New Roman"/>
      <w:sz w:val="18"/>
      <w:szCs w:val="18"/>
    </w:rPr>
  </w:style>
  <w:style w:type="paragraph" w:customStyle="1" w:styleId="Title1">
    <w:name w:val="Title1"/>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B22F92"/>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B22F92"/>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B22F92"/>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B22F92"/>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B22F92"/>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B22F92"/>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B22F92"/>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2">
    <w:name w:val="fp-2"/>
    <w:basedOn w:val="Normal"/>
    <w:rsid w:val="00B22F92"/>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B22F92"/>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B22F92"/>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B22F92"/>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B22F92"/>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B22F92"/>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B22F92"/>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B22F92"/>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B22F92"/>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B22F92"/>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B22F92"/>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B22F92"/>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B22F92"/>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B22F92"/>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B22F92"/>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B22F92"/>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B22F92"/>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B22F9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B22F9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B22F92"/>
    <w:rPr>
      <w:shd w:val="clear" w:color="auto" w:fill="FFFFFF"/>
    </w:rPr>
  </w:style>
  <w:style w:type="character" w:customStyle="1" w:styleId="pdash">
    <w:name w:val="pdash"/>
    <w:basedOn w:val="DefaultParagraphFont"/>
    <w:rsid w:val="00B22F92"/>
    <w:rPr>
      <w:shd w:val="clear" w:color="auto" w:fill="FFFFFF"/>
    </w:rPr>
  </w:style>
  <w:style w:type="character" w:customStyle="1" w:styleId="su1">
    <w:name w:val="su1"/>
    <w:basedOn w:val="DefaultParagraphFont"/>
    <w:rsid w:val="00B22F92"/>
    <w:rPr>
      <w:smallCaps w:val="0"/>
      <w:sz w:val="17"/>
      <w:szCs w:val="17"/>
      <w:vertAlign w:val="superscript"/>
    </w:rPr>
  </w:style>
  <w:style w:type="paragraph" w:customStyle="1" w:styleId="gpotblnote">
    <w:name w:val="gpotbl_note"/>
    <w:basedOn w:val="Normal"/>
    <w:rsid w:val="00B22F92"/>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B22F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306670">
      <w:bodyDiv w:val="1"/>
      <w:marLeft w:val="0"/>
      <w:marRight w:val="0"/>
      <w:marTop w:val="21"/>
      <w:marBottom w:val="522"/>
      <w:divBdr>
        <w:top w:val="none" w:sz="0" w:space="0" w:color="auto"/>
        <w:left w:val="none" w:sz="0" w:space="0" w:color="auto"/>
        <w:bottom w:val="none" w:sz="0" w:space="0" w:color="auto"/>
        <w:right w:val="none" w:sz="0" w:space="0" w:color="auto"/>
      </w:divBdr>
      <w:divsChild>
        <w:div w:id="391271801">
          <w:marLeft w:val="0"/>
          <w:marRight w:val="0"/>
          <w:marTop w:val="0"/>
          <w:marBottom w:val="0"/>
          <w:divBdr>
            <w:top w:val="none" w:sz="0" w:space="0" w:color="auto"/>
            <w:left w:val="none" w:sz="0" w:space="0" w:color="auto"/>
            <w:bottom w:val="none" w:sz="0" w:space="0" w:color="auto"/>
            <w:right w:val="none" w:sz="0" w:space="0" w:color="auto"/>
          </w:divBdr>
          <w:divsChild>
            <w:div w:id="1736850776">
              <w:marLeft w:val="0"/>
              <w:marRight w:val="0"/>
              <w:marTop w:val="0"/>
              <w:marBottom w:val="0"/>
              <w:divBdr>
                <w:top w:val="none" w:sz="0" w:space="0" w:color="auto"/>
                <w:left w:val="none" w:sz="0" w:space="0" w:color="auto"/>
                <w:bottom w:val="none" w:sz="0" w:space="0" w:color="auto"/>
                <w:right w:val="none" w:sz="0" w:space="0" w:color="auto"/>
              </w:divBdr>
            </w:div>
            <w:div w:id="1834107076">
              <w:marLeft w:val="0"/>
              <w:marRight w:val="0"/>
              <w:marTop w:val="0"/>
              <w:marBottom w:val="0"/>
              <w:divBdr>
                <w:top w:val="none" w:sz="0" w:space="0" w:color="auto"/>
                <w:left w:val="none" w:sz="0" w:space="0" w:color="auto"/>
                <w:bottom w:val="none" w:sz="0" w:space="0" w:color="auto"/>
                <w:right w:val="none" w:sz="0" w:space="0" w:color="auto"/>
              </w:divBdr>
            </w:div>
            <w:div w:id="77379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20346">
      <w:bodyDiv w:val="1"/>
      <w:marLeft w:val="0"/>
      <w:marRight w:val="0"/>
      <w:marTop w:val="21"/>
      <w:marBottom w:val="522"/>
      <w:divBdr>
        <w:top w:val="none" w:sz="0" w:space="0" w:color="auto"/>
        <w:left w:val="none" w:sz="0" w:space="0" w:color="auto"/>
        <w:bottom w:val="none" w:sz="0" w:space="0" w:color="auto"/>
        <w:right w:val="none" w:sz="0" w:space="0" w:color="auto"/>
      </w:divBdr>
      <w:divsChild>
        <w:div w:id="1889608202">
          <w:marLeft w:val="0"/>
          <w:marRight w:val="0"/>
          <w:marTop w:val="0"/>
          <w:marBottom w:val="0"/>
          <w:divBdr>
            <w:top w:val="none" w:sz="0" w:space="0" w:color="auto"/>
            <w:left w:val="none" w:sz="0" w:space="0" w:color="auto"/>
            <w:bottom w:val="none" w:sz="0" w:space="0" w:color="auto"/>
            <w:right w:val="none" w:sz="0" w:space="0" w:color="auto"/>
          </w:divBdr>
          <w:divsChild>
            <w:div w:id="1985230988">
              <w:marLeft w:val="0"/>
              <w:marRight w:val="0"/>
              <w:marTop w:val="0"/>
              <w:marBottom w:val="0"/>
              <w:divBdr>
                <w:top w:val="none" w:sz="0" w:space="0" w:color="auto"/>
                <w:left w:val="none" w:sz="0" w:space="0" w:color="auto"/>
                <w:bottom w:val="none" w:sz="0" w:space="0" w:color="auto"/>
                <w:right w:val="none" w:sz="0" w:space="0" w:color="auto"/>
              </w:divBdr>
            </w:div>
            <w:div w:id="1747341694">
              <w:marLeft w:val="0"/>
              <w:marRight w:val="0"/>
              <w:marTop w:val="0"/>
              <w:marBottom w:val="0"/>
              <w:divBdr>
                <w:top w:val="none" w:sz="0" w:space="0" w:color="auto"/>
                <w:left w:val="none" w:sz="0" w:space="0" w:color="auto"/>
                <w:bottom w:val="none" w:sz="0" w:space="0" w:color="auto"/>
                <w:right w:val="none" w:sz="0" w:space="0" w:color="auto"/>
              </w:divBdr>
            </w:div>
            <w:div w:id="1600288555">
              <w:marLeft w:val="0"/>
              <w:marRight w:val="0"/>
              <w:marTop w:val="0"/>
              <w:marBottom w:val="0"/>
              <w:divBdr>
                <w:top w:val="none" w:sz="0" w:space="0" w:color="auto"/>
                <w:left w:val="none" w:sz="0" w:space="0" w:color="auto"/>
                <w:bottom w:val="none" w:sz="0" w:space="0" w:color="auto"/>
                <w:right w:val="none" w:sz="0" w:space="0" w:color="auto"/>
              </w:divBdr>
            </w:div>
            <w:div w:id="1254241476">
              <w:marLeft w:val="0"/>
              <w:marRight w:val="0"/>
              <w:marTop w:val="0"/>
              <w:marBottom w:val="0"/>
              <w:divBdr>
                <w:top w:val="none" w:sz="0" w:space="0" w:color="auto"/>
                <w:left w:val="none" w:sz="0" w:space="0" w:color="auto"/>
                <w:bottom w:val="none" w:sz="0" w:space="0" w:color="auto"/>
                <w:right w:val="none" w:sz="0" w:space="0" w:color="auto"/>
              </w:divBdr>
            </w:div>
            <w:div w:id="1517883486">
              <w:marLeft w:val="0"/>
              <w:marRight w:val="0"/>
              <w:marTop w:val="0"/>
              <w:marBottom w:val="0"/>
              <w:divBdr>
                <w:top w:val="none" w:sz="0" w:space="0" w:color="auto"/>
                <w:left w:val="none" w:sz="0" w:space="0" w:color="auto"/>
                <w:bottom w:val="none" w:sz="0" w:space="0" w:color="auto"/>
                <w:right w:val="none" w:sz="0" w:space="0" w:color="auto"/>
              </w:divBdr>
            </w:div>
            <w:div w:id="1846090064">
              <w:marLeft w:val="0"/>
              <w:marRight w:val="0"/>
              <w:marTop w:val="0"/>
              <w:marBottom w:val="0"/>
              <w:divBdr>
                <w:top w:val="none" w:sz="0" w:space="0" w:color="auto"/>
                <w:left w:val="none" w:sz="0" w:space="0" w:color="auto"/>
                <w:bottom w:val="none" w:sz="0" w:space="0" w:color="auto"/>
                <w:right w:val="none" w:sz="0" w:space="0" w:color="auto"/>
              </w:divBdr>
            </w:div>
            <w:div w:id="503713847">
              <w:marLeft w:val="0"/>
              <w:marRight w:val="0"/>
              <w:marTop w:val="0"/>
              <w:marBottom w:val="0"/>
              <w:divBdr>
                <w:top w:val="none" w:sz="0" w:space="0" w:color="auto"/>
                <w:left w:val="none" w:sz="0" w:space="0" w:color="auto"/>
                <w:bottom w:val="none" w:sz="0" w:space="0" w:color="auto"/>
                <w:right w:val="none" w:sz="0" w:space="0" w:color="auto"/>
              </w:divBdr>
            </w:div>
            <w:div w:id="1548566218">
              <w:marLeft w:val="0"/>
              <w:marRight w:val="0"/>
              <w:marTop w:val="0"/>
              <w:marBottom w:val="0"/>
              <w:divBdr>
                <w:top w:val="none" w:sz="0" w:space="0" w:color="auto"/>
                <w:left w:val="none" w:sz="0" w:space="0" w:color="auto"/>
                <w:bottom w:val="none" w:sz="0" w:space="0" w:color="auto"/>
                <w:right w:val="none" w:sz="0" w:space="0" w:color="auto"/>
              </w:divBdr>
              <w:divsChild>
                <w:div w:id="23077184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91983332">
              <w:marLeft w:val="0"/>
              <w:marRight w:val="0"/>
              <w:marTop w:val="0"/>
              <w:marBottom w:val="0"/>
              <w:divBdr>
                <w:top w:val="none" w:sz="0" w:space="0" w:color="auto"/>
                <w:left w:val="none" w:sz="0" w:space="0" w:color="auto"/>
                <w:bottom w:val="none" w:sz="0" w:space="0" w:color="auto"/>
                <w:right w:val="none" w:sz="0" w:space="0" w:color="auto"/>
              </w:divBdr>
              <w:divsChild>
                <w:div w:id="1964114216">
                  <w:marLeft w:val="0"/>
                  <w:marRight w:val="0"/>
                  <w:marTop w:val="0"/>
                  <w:marBottom w:val="0"/>
                  <w:divBdr>
                    <w:top w:val="none" w:sz="0" w:space="0" w:color="auto"/>
                    <w:left w:val="none" w:sz="0" w:space="0" w:color="auto"/>
                    <w:bottom w:val="none" w:sz="0" w:space="0" w:color="auto"/>
                    <w:right w:val="none" w:sz="0" w:space="0" w:color="auto"/>
                  </w:divBdr>
                </w:div>
                <w:div w:id="1528323636">
                  <w:marLeft w:val="0"/>
                  <w:marRight w:val="0"/>
                  <w:marTop w:val="0"/>
                  <w:marBottom w:val="0"/>
                  <w:divBdr>
                    <w:top w:val="single" w:sz="8" w:space="0" w:color="000000"/>
                    <w:left w:val="single" w:sz="8" w:space="0" w:color="000000"/>
                    <w:bottom w:val="single" w:sz="8" w:space="0" w:color="000000"/>
                    <w:right w:val="single" w:sz="8" w:space="0" w:color="000000"/>
                  </w:divBdr>
                </w:div>
                <w:div w:id="333992006">
                  <w:marLeft w:val="0"/>
                  <w:marRight w:val="0"/>
                  <w:marTop w:val="0"/>
                  <w:marBottom w:val="0"/>
                  <w:divBdr>
                    <w:top w:val="none" w:sz="0" w:space="0" w:color="auto"/>
                    <w:left w:val="none" w:sz="0" w:space="0" w:color="auto"/>
                    <w:bottom w:val="none" w:sz="0" w:space="0" w:color="auto"/>
                    <w:right w:val="none" w:sz="0" w:space="0" w:color="auto"/>
                  </w:divBdr>
                </w:div>
              </w:divsChild>
            </w:div>
            <w:div w:id="601258487">
              <w:marLeft w:val="0"/>
              <w:marRight w:val="0"/>
              <w:marTop w:val="0"/>
              <w:marBottom w:val="0"/>
              <w:divBdr>
                <w:top w:val="none" w:sz="0" w:space="0" w:color="auto"/>
                <w:left w:val="none" w:sz="0" w:space="0" w:color="auto"/>
                <w:bottom w:val="none" w:sz="0" w:space="0" w:color="auto"/>
                <w:right w:val="none" w:sz="0" w:space="0" w:color="auto"/>
              </w:divBdr>
              <w:divsChild>
                <w:div w:id="806505968">
                  <w:marLeft w:val="0"/>
                  <w:marRight w:val="0"/>
                  <w:marTop w:val="0"/>
                  <w:marBottom w:val="0"/>
                  <w:divBdr>
                    <w:top w:val="none" w:sz="0" w:space="0" w:color="auto"/>
                    <w:left w:val="none" w:sz="0" w:space="0" w:color="auto"/>
                    <w:bottom w:val="none" w:sz="0" w:space="0" w:color="auto"/>
                    <w:right w:val="none" w:sz="0" w:space="0" w:color="auto"/>
                  </w:divBdr>
                </w:div>
                <w:div w:id="298926426">
                  <w:marLeft w:val="0"/>
                  <w:marRight w:val="0"/>
                  <w:marTop w:val="0"/>
                  <w:marBottom w:val="0"/>
                  <w:divBdr>
                    <w:top w:val="single" w:sz="8" w:space="0" w:color="000000"/>
                    <w:left w:val="single" w:sz="8" w:space="0" w:color="000000"/>
                    <w:bottom w:val="single" w:sz="8" w:space="0" w:color="000000"/>
                    <w:right w:val="single" w:sz="8" w:space="0" w:color="000000"/>
                  </w:divBdr>
                </w:div>
                <w:div w:id="814294720">
                  <w:marLeft w:val="0"/>
                  <w:marRight w:val="0"/>
                  <w:marTop w:val="0"/>
                  <w:marBottom w:val="0"/>
                  <w:divBdr>
                    <w:top w:val="none" w:sz="0" w:space="0" w:color="auto"/>
                    <w:left w:val="none" w:sz="0" w:space="0" w:color="auto"/>
                    <w:bottom w:val="none" w:sz="0" w:space="0" w:color="auto"/>
                    <w:right w:val="none" w:sz="0" w:space="0" w:color="auto"/>
                  </w:divBdr>
                </w:div>
              </w:divsChild>
            </w:div>
            <w:div w:id="1286039961">
              <w:marLeft w:val="0"/>
              <w:marRight w:val="0"/>
              <w:marTop w:val="0"/>
              <w:marBottom w:val="0"/>
              <w:divBdr>
                <w:top w:val="none" w:sz="0" w:space="0" w:color="auto"/>
                <w:left w:val="none" w:sz="0" w:space="0" w:color="auto"/>
                <w:bottom w:val="none" w:sz="0" w:space="0" w:color="auto"/>
                <w:right w:val="none" w:sz="0" w:space="0" w:color="auto"/>
              </w:divBdr>
              <w:divsChild>
                <w:div w:id="723873341">
                  <w:marLeft w:val="0"/>
                  <w:marRight w:val="0"/>
                  <w:marTop w:val="0"/>
                  <w:marBottom w:val="0"/>
                  <w:divBdr>
                    <w:top w:val="none" w:sz="0" w:space="0" w:color="auto"/>
                    <w:left w:val="none" w:sz="0" w:space="0" w:color="auto"/>
                    <w:bottom w:val="none" w:sz="0" w:space="0" w:color="auto"/>
                    <w:right w:val="none" w:sz="0" w:space="0" w:color="auto"/>
                  </w:divBdr>
                </w:div>
                <w:div w:id="119946742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141218313">
              <w:marLeft w:val="0"/>
              <w:marRight w:val="0"/>
              <w:marTop w:val="0"/>
              <w:marBottom w:val="0"/>
              <w:divBdr>
                <w:top w:val="none" w:sz="0" w:space="0" w:color="auto"/>
                <w:left w:val="none" w:sz="0" w:space="0" w:color="auto"/>
                <w:bottom w:val="none" w:sz="0" w:space="0" w:color="auto"/>
                <w:right w:val="none" w:sz="0" w:space="0" w:color="auto"/>
              </w:divBdr>
              <w:divsChild>
                <w:div w:id="1013262871">
                  <w:marLeft w:val="0"/>
                  <w:marRight w:val="0"/>
                  <w:marTop w:val="0"/>
                  <w:marBottom w:val="0"/>
                  <w:divBdr>
                    <w:top w:val="none" w:sz="0" w:space="0" w:color="auto"/>
                    <w:left w:val="none" w:sz="0" w:space="0" w:color="auto"/>
                    <w:bottom w:val="none" w:sz="0" w:space="0" w:color="auto"/>
                    <w:right w:val="none" w:sz="0" w:space="0" w:color="auto"/>
                  </w:divBdr>
                </w:div>
                <w:div w:id="1490631968">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23918641">
              <w:marLeft w:val="0"/>
              <w:marRight w:val="0"/>
              <w:marTop w:val="0"/>
              <w:marBottom w:val="0"/>
              <w:divBdr>
                <w:top w:val="none" w:sz="0" w:space="0" w:color="auto"/>
                <w:left w:val="none" w:sz="0" w:space="0" w:color="auto"/>
                <w:bottom w:val="none" w:sz="0" w:space="0" w:color="auto"/>
                <w:right w:val="none" w:sz="0" w:space="0" w:color="auto"/>
              </w:divBdr>
              <w:divsChild>
                <w:div w:id="546911425">
                  <w:marLeft w:val="0"/>
                  <w:marRight w:val="0"/>
                  <w:marTop w:val="0"/>
                  <w:marBottom w:val="0"/>
                  <w:divBdr>
                    <w:top w:val="none" w:sz="0" w:space="0" w:color="auto"/>
                    <w:left w:val="none" w:sz="0" w:space="0" w:color="auto"/>
                    <w:bottom w:val="none" w:sz="0" w:space="0" w:color="auto"/>
                    <w:right w:val="none" w:sz="0" w:space="0" w:color="auto"/>
                  </w:divBdr>
                </w:div>
                <w:div w:id="15583920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15823247">
              <w:marLeft w:val="0"/>
              <w:marRight w:val="0"/>
              <w:marTop w:val="0"/>
              <w:marBottom w:val="0"/>
              <w:divBdr>
                <w:top w:val="none" w:sz="0" w:space="0" w:color="auto"/>
                <w:left w:val="none" w:sz="0" w:space="0" w:color="auto"/>
                <w:bottom w:val="none" w:sz="0" w:space="0" w:color="auto"/>
                <w:right w:val="none" w:sz="0" w:space="0" w:color="auto"/>
              </w:divBdr>
              <w:divsChild>
                <w:div w:id="1955360234">
                  <w:marLeft w:val="0"/>
                  <w:marRight w:val="0"/>
                  <w:marTop w:val="0"/>
                  <w:marBottom w:val="0"/>
                  <w:divBdr>
                    <w:top w:val="none" w:sz="0" w:space="0" w:color="auto"/>
                    <w:left w:val="none" w:sz="0" w:space="0" w:color="auto"/>
                    <w:bottom w:val="none" w:sz="0" w:space="0" w:color="auto"/>
                    <w:right w:val="none" w:sz="0" w:space="0" w:color="auto"/>
                  </w:divBdr>
                </w:div>
                <w:div w:id="167642316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414865063">
              <w:marLeft w:val="0"/>
              <w:marRight w:val="0"/>
              <w:marTop w:val="0"/>
              <w:marBottom w:val="0"/>
              <w:divBdr>
                <w:top w:val="none" w:sz="0" w:space="0" w:color="auto"/>
                <w:left w:val="none" w:sz="0" w:space="0" w:color="auto"/>
                <w:bottom w:val="none" w:sz="0" w:space="0" w:color="auto"/>
                <w:right w:val="none" w:sz="0" w:space="0" w:color="auto"/>
              </w:divBdr>
              <w:divsChild>
                <w:div w:id="1160191417">
                  <w:marLeft w:val="0"/>
                  <w:marRight w:val="0"/>
                  <w:marTop w:val="0"/>
                  <w:marBottom w:val="0"/>
                  <w:divBdr>
                    <w:top w:val="none" w:sz="0" w:space="0" w:color="auto"/>
                    <w:left w:val="none" w:sz="0" w:space="0" w:color="auto"/>
                    <w:bottom w:val="none" w:sz="0" w:space="0" w:color="auto"/>
                    <w:right w:val="none" w:sz="0" w:space="0" w:color="auto"/>
                  </w:divBdr>
                </w:div>
                <w:div w:id="155080002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4463972">
              <w:marLeft w:val="0"/>
              <w:marRight w:val="0"/>
              <w:marTop w:val="0"/>
              <w:marBottom w:val="0"/>
              <w:divBdr>
                <w:top w:val="none" w:sz="0" w:space="0" w:color="auto"/>
                <w:left w:val="none" w:sz="0" w:space="0" w:color="auto"/>
                <w:bottom w:val="none" w:sz="0" w:space="0" w:color="auto"/>
                <w:right w:val="none" w:sz="0" w:space="0" w:color="auto"/>
              </w:divBdr>
              <w:divsChild>
                <w:div w:id="1991858305">
                  <w:marLeft w:val="0"/>
                  <w:marRight w:val="0"/>
                  <w:marTop w:val="0"/>
                  <w:marBottom w:val="0"/>
                  <w:divBdr>
                    <w:top w:val="none" w:sz="0" w:space="0" w:color="auto"/>
                    <w:left w:val="none" w:sz="0" w:space="0" w:color="auto"/>
                    <w:bottom w:val="none" w:sz="0" w:space="0" w:color="auto"/>
                    <w:right w:val="none" w:sz="0" w:space="0" w:color="auto"/>
                  </w:divBdr>
                </w:div>
                <w:div w:id="182750370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4333616">
              <w:marLeft w:val="0"/>
              <w:marRight w:val="0"/>
              <w:marTop w:val="0"/>
              <w:marBottom w:val="0"/>
              <w:divBdr>
                <w:top w:val="none" w:sz="0" w:space="0" w:color="auto"/>
                <w:left w:val="none" w:sz="0" w:space="0" w:color="auto"/>
                <w:bottom w:val="none" w:sz="0" w:space="0" w:color="auto"/>
                <w:right w:val="none" w:sz="0" w:space="0" w:color="auto"/>
              </w:divBdr>
              <w:divsChild>
                <w:div w:id="475804419">
                  <w:marLeft w:val="0"/>
                  <w:marRight w:val="0"/>
                  <w:marTop w:val="0"/>
                  <w:marBottom w:val="0"/>
                  <w:divBdr>
                    <w:top w:val="none" w:sz="0" w:space="0" w:color="auto"/>
                    <w:left w:val="none" w:sz="0" w:space="0" w:color="auto"/>
                    <w:bottom w:val="none" w:sz="0" w:space="0" w:color="auto"/>
                    <w:right w:val="none" w:sz="0" w:space="0" w:color="auto"/>
                  </w:divBdr>
                </w:div>
                <w:div w:id="29217804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230767853">
              <w:marLeft w:val="0"/>
              <w:marRight w:val="0"/>
              <w:marTop w:val="0"/>
              <w:marBottom w:val="0"/>
              <w:divBdr>
                <w:top w:val="none" w:sz="0" w:space="0" w:color="auto"/>
                <w:left w:val="none" w:sz="0" w:space="0" w:color="auto"/>
                <w:bottom w:val="none" w:sz="0" w:space="0" w:color="auto"/>
                <w:right w:val="none" w:sz="0" w:space="0" w:color="auto"/>
              </w:divBdr>
              <w:divsChild>
                <w:div w:id="1246260483">
                  <w:marLeft w:val="0"/>
                  <w:marRight w:val="0"/>
                  <w:marTop w:val="0"/>
                  <w:marBottom w:val="0"/>
                  <w:divBdr>
                    <w:top w:val="none" w:sz="0" w:space="0" w:color="auto"/>
                    <w:left w:val="none" w:sz="0" w:space="0" w:color="auto"/>
                    <w:bottom w:val="none" w:sz="0" w:space="0" w:color="auto"/>
                    <w:right w:val="none" w:sz="0" w:space="0" w:color="auto"/>
                  </w:divBdr>
                </w:div>
                <w:div w:id="100127515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51804099">
              <w:marLeft w:val="0"/>
              <w:marRight w:val="0"/>
              <w:marTop w:val="0"/>
              <w:marBottom w:val="0"/>
              <w:divBdr>
                <w:top w:val="none" w:sz="0" w:space="0" w:color="auto"/>
                <w:left w:val="none" w:sz="0" w:space="0" w:color="auto"/>
                <w:bottom w:val="none" w:sz="0" w:space="0" w:color="auto"/>
                <w:right w:val="none" w:sz="0" w:space="0" w:color="auto"/>
              </w:divBdr>
              <w:divsChild>
                <w:div w:id="1159805342">
                  <w:marLeft w:val="0"/>
                  <w:marRight w:val="0"/>
                  <w:marTop w:val="0"/>
                  <w:marBottom w:val="0"/>
                  <w:divBdr>
                    <w:top w:val="none" w:sz="0" w:space="0" w:color="auto"/>
                    <w:left w:val="none" w:sz="0" w:space="0" w:color="auto"/>
                    <w:bottom w:val="none" w:sz="0" w:space="0" w:color="auto"/>
                    <w:right w:val="none" w:sz="0" w:space="0" w:color="auto"/>
                  </w:divBdr>
                </w:div>
                <w:div w:id="9590393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61979966">
              <w:marLeft w:val="0"/>
              <w:marRight w:val="0"/>
              <w:marTop w:val="0"/>
              <w:marBottom w:val="0"/>
              <w:divBdr>
                <w:top w:val="none" w:sz="0" w:space="0" w:color="auto"/>
                <w:left w:val="none" w:sz="0" w:space="0" w:color="auto"/>
                <w:bottom w:val="none" w:sz="0" w:space="0" w:color="auto"/>
                <w:right w:val="none" w:sz="0" w:space="0" w:color="auto"/>
              </w:divBdr>
              <w:divsChild>
                <w:div w:id="952008321">
                  <w:marLeft w:val="0"/>
                  <w:marRight w:val="0"/>
                  <w:marTop w:val="0"/>
                  <w:marBottom w:val="0"/>
                  <w:divBdr>
                    <w:top w:val="none" w:sz="0" w:space="0" w:color="auto"/>
                    <w:left w:val="none" w:sz="0" w:space="0" w:color="auto"/>
                    <w:bottom w:val="none" w:sz="0" w:space="0" w:color="auto"/>
                    <w:right w:val="none" w:sz="0" w:space="0" w:color="auto"/>
                  </w:divBdr>
                </w:div>
                <w:div w:id="96647506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90748010">
              <w:marLeft w:val="0"/>
              <w:marRight w:val="0"/>
              <w:marTop w:val="0"/>
              <w:marBottom w:val="0"/>
              <w:divBdr>
                <w:top w:val="none" w:sz="0" w:space="0" w:color="auto"/>
                <w:left w:val="none" w:sz="0" w:space="0" w:color="auto"/>
                <w:bottom w:val="none" w:sz="0" w:space="0" w:color="auto"/>
                <w:right w:val="none" w:sz="0" w:space="0" w:color="auto"/>
              </w:divBdr>
              <w:divsChild>
                <w:div w:id="1513454500">
                  <w:marLeft w:val="0"/>
                  <w:marRight w:val="0"/>
                  <w:marTop w:val="0"/>
                  <w:marBottom w:val="0"/>
                  <w:divBdr>
                    <w:top w:val="none" w:sz="0" w:space="0" w:color="auto"/>
                    <w:left w:val="none" w:sz="0" w:space="0" w:color="auto"/>
                    <w:bottom w:val="none" w:sz="0" w:space="0" w:color="auto"/>
                    <w:right w:val="none" w:sz="0" w:space="0" w:color="auto"/>
                  </w:divBdr>
                </w:div>
                <w:div w:id="174525044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808013076">
              <w:marLeft w:val="0"/>
              <w:marRight w:val="0"/>
              <w:marTop w:val="0"/>
              <w:marBottom w:val="0"/>
              <w:divBdr>
                <w:top w:val="none" w:sz="0" w:space="0" w:color="auto"/>
                <w:left w:val="none" w:sz="0" w:space="0" w:color="auto"/>
                <w:bottom w:val="none" w:sz="0" w:space="0" w:color="auto"/>
                <w:right w:val="none" w:sz="0" w:space="0" w:color="auto"/>
              </w:divBdr>
              <w:divsChild>
                <w:div w:id="880826854">
                  <w:marLeft w:val="0"/>
                  <w:marRight w:val="0"/>
                  <w:marTop w:val="0"/>
                  <w:marBottom w:val="0"/>
                  <w:divBdr>
                    <w:top w:val="none" w:sz="0" w:space="0" w:color="auto"/>
                    <w:left w:val="none" w:sz="0" w:space="0" w:color="auto"/>
                    <w:bottom w:val="none" w:sz="0" w:space="0" w:color="auto"/>
                    <w:right w:val="none" w:sz="0" w:space="0" w:color="auto"/>
                  </w:divBdr>
                </w:div>
                <w:div w:id="202578348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96561643">
              <w:marLeft w:val="0"/>
              <w:marRight w:val="0"/>
              <w:marTop w:val="0"/>
              <w:marBottom w:val="0"/>
              <w:divBdr>
                <w:top w:val="none" w:sz="0" w:space="0" w:color="auto"/>
                <w:left w:val="none" w:sz="0" w:space="0" w:color="auto"/>
                <w:bottom w:val="none" w:sz="0" w:space="0" w:color="auto"/>
                <w:right w:val="none" w:sz="0" w:space="0" w:color="auto"/>
              </w:divBdr>
              <w:divsChild>
                <w:div w:id="1512262688">
                  <w:marLeft w:val="0"/>
                  <w:marRight w:val="0"/>
                  <w:marTop w:val="0"/>
                  <w:marBottom w:val="0"/>
                  <w:divBdr>
                    <w:top w:val="none" w:sz="0" w:space="0" w:color="auto"/>
                    <w:left w:val="none" w:sz="0" w:space="0" w:color="auto"/>
                    <w:bottom w:val="none" w:sz="0" w:space="0" w:color="auto"/>
                    <w:right w:val="none" w:sz="0" w:space="0" w:color="auto"/>
                  </w:divBdr>
                </w:div>
                <w:div w:id="168909010">
                  <w:marLeft w:val="0"/>
                  <w:marRight w:val="0"/>
                  <w:marTop w:val="0"/>
                  <w:marBottom w:val="0"/>
                  <w:divBdr>
                    <w:top w:val="single" w:sz="8" w:space="0" w:color="000000"/>
                    <w:left w:val="single" w:sz="8" w:space="0" w:color="000000"/>
                    <w:bottom w:val="single" w:sz="8" w:space="0" w:color="000000"/>
                    <w:right w:val="single" w:sz="8" w:space="0" w:color="000000"/>
                  </w:divBdr>
                </w:div>
                <w:div w:id="240528990">
                  <w:marLeft w:val="0"/>
                  <w:marRight w:val="0"/>
                  <w:marTop w:val="0"/>
                  <w:marBottom w:val="0"/>
                  <w:divBdr>
                    <w:top w:val="none" w:sz="0" w:space="0" w:color="auto"/>
                    <w:left w:val="none" w:sz="0" w:space="0" w:color="auto"/>
                    <w:bottom w:val="none" w:sz="0" w:space="0" w:color="auto"/>
                    <w:right w:val="none" w:sz="0" w:space="0" w:color="auto"/>
                  </w:divBdr>
                </w:div>
              </w:divsChild>
            </w:div>
            <w:div w:id="433479856">
              <w:marLeft w:val="0"/>
              <w:marRight w:val="0"/>
              <w:marTop w:val="0"/>
              <w:marBottom w:val="0"/>
              <w:divBdr>
                <w:top w:val="none" w:sz="0" w:space="0" w:color="auto"/>
                <w:left w:val="none" w:sz="0" w:space="0" w:color="auto"/>
                <w:bottom w:val="none" w:sz="0" w:space="0" w:color="auto"/>
                <w:right w:val="none" w:sz="0" w:space="0" w:color="auto"/>
              </w:divBdr>
            </w:div>
            <w:div w:id="1730156166">
              <w:marLeft w:val="0"/>
              <w:marRight w:val="0"/>
              <w:marTop w:val="0"/>
              <w:marBottom w:val="0"/>
              <w:divBdr>
                <w:top w:val="none" w:sz="0" w:space="0" w:color="auto"/>
                <w:left w:val="none" w:sz="0" w:space="0" w:color="auto"/>
                <w:bottom w:val="none" w:sz="0" w:space="0" w:color="auto"/>
                <w:right w:val="none" w:sz="0" w:space="0" w:color="auto"/>
              </w:divBdr>
            </w:div>
            <w:div w:id="508450892">
              <w:marLeft w:val="0"/>
              <w:marRight w:val="0"/>
              <w:marTop w:val="0"/>
              <w:marBottom w:val="0"/>
              <w:divBdr>
                <w:top w:val="none" w:sz="0" w:space="0" w:color="auto"/>
                <w:left w:val="none" w:sz="0" w:space="0" w:color="auto"/>
                <w:bottom w:val="none" w:sz="0" w:space="0" w:color="auto"/>
                <w:right w:val="none" w:sz="0" w:space="0" w:color="auto"/>
              </w:divBdr>
            </w:div>
            <w:div w:id="407264654">
              <w:marLeft w:val="0"/>
              <w:marRight w:val="0"/>
              <w:marTop w:val="0"/>
              <w:marBottom w:val="0"/>
              <w:divBdr>
                <w:top w:val="none" w:sz="0" w:space="0" w:color="auto"/>
                <w:left w:val="none" w:sz="0" w:space="0" w:color="auto"/>
                <w:bottom w:val="none" w:sz="0" w:space="0" w:color="auto"/>
                <w:right w:val="none" w:sz="0" w:space="0" w:color="auto"/>
              </w:divBdr>
              <w:divsChild>
                <w:div w:id="47804156">
                  <w:marLeft w:val="0"/>
                  <w:marRight w:val="0"/>
                  <w:marTop w:val="230"/>
                  <w:marBottom w:val="0"/>
                  <w:divBdr>
                    <w:top w:val="single" w:sz="4" w:space="0" w:color="000000"/>
                    <w:left w:val="none" w:sz="0" w:space="0" w:color="auto"/>
                    <w:bottom w:val="none" w:sz="0" w:space="0" w:color="auto"/>
                    <w:right w:val="none" w:sz="0" w:space="0" w:color="auto"/>
                  </w:divBdr>
                </w:div>
                <w:div w:id="1939288960">
                  <w:marLeft w:val="0"/>
                  <w:marRight w:val="0"/>
                  <w:marTop w:val="230"/>
                  <w:marBottom w:val="0"/>
                  <w:divBdr>
                    <w:top w:val="single" w:sz="4" w:space="0" w:color="000000"/>
                    <w:left w:val="none" w:sz="0" w:space="0" w:color="auto"/>
                    <w:bottom w:val="none" w:sz="0" w:space="0" w:color="auto"/>
                    <w:right w:val="none" w:sz="0" w:space="0" w:color="auto"/>
                  </w:divBdr>
                </w:div>
                <w:div w:id="1010067333">
                  <w:marLeft w:val="0"/>
                  <w:marRight w:val="0"/>
                  <w:marTop w:val="230"/>
                  <w:marBottom w:val="0"/>
                  <w:divBdr>
                    <w:top w:val="single" w:sz="4" w:space="0" w:color="000000"/>
                    <w:left w:val="none" w:sz="0" w:space="0" w:color="auto"/>
                    <w:bottom w:val="none" w:sz="0" w:space="0" w:color="auto"/>
                    <w:right w:val="none" w:sz="0" w:space="0" w:color="auto"/>
                  </w:divBdr>
                </w:div>
                <w:div w:id="230779424">
                  <w:marLeft w:val="0"/>
                  <w:marRight w:val="0"/>
                  <w:marTop w:val="230"/>
                  <w:marBottom w:val="0"/>
                  <w:divBdr>
                    <w:top w:val="single" w:sz="4" w:space="0" w:color="000000"/>
                    <w:left w:val="none" w:sz="0" w:space="0" w:color="auto"/>
                    <w:bottom w:val="none" w:sz="0" w:space="0" w:color="auto"/>
                    <w:right w:val="none" w:sz="0" w:space="0" w:color="auto"/>
                  </w:divBdr>
                </w:div>
                <w:div w:id="1826242348">
                  <w:marLeft w:val="0"/>
                  <w:marRight w:val="0"/>
                  <w:marTop w:val="0"/>
                  <w:marBottom w:val="0"/>
                  <w:divBdr>
                    <w:top w:val="none" w:sz="0" w:space="0" w:color="auto"/>
                    <w:left w:val="none" w:sz="0" w:space="0" w:color="auto"/>
                    <w:bottom w:val="none" w:sz="0" w:space="0" w:color="auto"/>
                    <w:right w:val="none" w:sz="0" w:space="0" w:color="auto"/>
                  </w:divBdr>
                  <w:divsChild>
                    <w:div w:id="1744178867">
                      <w:marLeft w:val="0"/>
                      <w:marRight w:val="0"/>
                      <w:marTop w:val="0"/>
                      <w:marBottom w:val="0"/>
                      <w:divBdr>
                        <w:top w:val="single" w:sz="8" w:space="0" w:color="000000"/>
                        <w:left w:val="single" w:sz="8" w:space="0" w:color="000000"/>
                        <w:bottom w:val="single" w:sz="8" w:space="0" w:color="000000"/>
                        <w:right w:val="single" w:sz="8" w:space="0" w:color="000000"/>
                      </w:divBdr>
                    </w:div>
                    <w:div w:id="2069574696">
                      <w:marLeft w:val="0"/>
                      <w:marRight w:val="0"/>
                      <w:marTop w:val="0"/>
                      <w:marBottom w:val="0"/>
                      <w:divBdr>
                        <w:top w:val="none" w:sz="0" w:space="0" w:color="auto"/>
                        <w:left w:val="none" w:sz="0" w:space="0" w:color="auto"/>
                        <w:bottom w:val="none" w:sz="0" w:space="0" w:color="auto"/>
                        <w:right w:val="none" w:sz="0" w:space="0" w:color="auto"/>
                      </w:divBdr>
                    </w:div>
                  </w:divsChild>
                </w:div>
                <w:div w:id="247232739">
                  <w:marLeft w:val="0"/>
                  <w:marRight w:val="0"/>
                  <w:marTop w:val="230"/>
                  <w:marBottom w:val="0"/>
                  <w:divBdr>
                    <w:top w:val="single" w:sz="4" w:space="0" w:color="000000"/>
                    <w:left w:val="none" w:sz="0" w:space="0" w:color="auto"/>
                    <w:bottom w:val="none" w:sz="0" w:space="0" w:color="auto"/>
                    <w:right w:val="none" w:sz="0" w:space="0" w:color="auto"/>
                  </w:divBdr>
                </w:div>
                <w:div w:id="1098133065">
                  <w:marLeft w:val="0"/>
                  <w:marRight w:val="0"/>
                  <w:marTop w:val="230"/>
                  <w:marBottom w:val="0"/>
                  <w:divBdr>
                    <w:top w:val="single" w:sz="4" w:space="0" w:color="000000"/>
                    <w:left w:val="none" w:sz="0" w:space="0" w:color="auto"/>
                    <w:bottom w:val="none" w:sz="0" w:space="0" w:color="auto"/>
                    <w:right w:val="none" w:sz="0" w:space="0" w:color="auto"/>
                  </w:divBdr>
                </w:div>
                <w:div w:id="795684894">
                  <w:marLeft w:val="0"/>
                  <w:marRight w:val="0"/>
                  <w:marTop w:val="230"/>
                  <w:marBottom w:val="0"/>
                  <w:divBdr>
                    <w:top w:val="single" w:sz="4" w:space="0" w:color="000000"/>
                    <w:left w:val="none" w:sz="0" w:space="0" w:color="auto"/>
                    <w:bottom w:val="none" w:sz="0" w:space="0" w:color="auto"/>
                    <w:right w:val="none" w:sz="0" w:space="0" w:color="auto"/>
                  </w:divBdr>
                </w:div>
                <w:div w:id="2144076677">
                  <w:marLeft w:val="0"/>
                  <w:marRight w:val="0"/>
                  <w:marTop w:val="230"/>
                  <w:marBottom w:val="0"/>
                  <w:divBdr>
                    <w:top w:val="single" w:sz="4" w:space="0" w:color="000000"/>
                    <w:left w:val="none" w:sz="0" w:space="0" w:color="auto"/>
                    <w:bottom w:val="none" w:sz="0" w:space="0" w:color="auto"/>
                    <w:right w:val="none" w:sz="0" w:space="0" w:color="auto"/>
                  </w:divBdr>
                </w:div>
              </w:divsChild>
            </w:div>
            <w:div w:id="1077627804">
              <w:marLeft w:val="0"/>
              <w:marRight w:val="0"/>
              <w:marTop w:val="0"/>
              <w:marBottom w:val="0"/>
              <w:divBdr>
                <w:top w:val="none" w:sz="0" w:space="0" w:color="auto"/>
                <w:left w:val="none" w:sz="0" w:space="0" w:color="auto"/>
                <w:bottom w:val="none" w:sz="0" w:space="0" w:color="auto"/>
                <w:right w:val="none" w:sz="0" w:space="0" w:color="auto"/>
              </w:divBdr>
            </w:div>
            <w:div w:id="1007824809">
              <w:marLeft w:val="0"/>
              <w:marRight w:val="0"/>
              <w:marTop w:val="0"/>
              <w:marBottom w:val="0"/>
              <w:divBdr>
                <w:top w:val="none" w:sz="0" w:space="0" w:color="auto"/>
                <w:left w:val="none" w:sz="0" w:space="0" w:color="auto"/>
                <w:bottom w:val="none" w:sz="0" w:space="0" w:color="auto"/>
                <w:right w:val="none" w:sz="0" w:space="0" w:color="auto"/>
              </w:divBdr>
            </w:div>
            <w:div w:id="2108305172">
              <w:marLeft w:val="0"/>
              <w:marRight w:val="0"/>
              <w:marTop w:val="0"/>
              <w:marBottom w:val="0"/>
              <w:divBdr>
                <w:top w:val="none" w:sz="0" w:space="0" w:color="auto"/>
                <w:left w:val="none" w:sz="0" w:space="0" w:color="auto"/>
                <w:bottom w:val="none" w:sz="0" w:space="0" w:color="auto"/>
                <w:right w:val="none" w:sz="0" w:space="0" w:color="auto"/>
              </w:divBdr>
            </w:div>
            <w:div w:id="541282994">
              <w:marLeft w:val="0"/>
              <w:marRight w:val="0"/>
              <w:marTop w:val="0"/>
              <w:marBottom w:val="0"/>
              <w:divBdr>
                <w:top w:val="none" w:sz="0" w:space="0" w:color="auto"/>
                <w:left w:val="none" w:sz="0" w:space="0" w:color="auto"/>
                <w:bottom w:val="none" w:sz="0" w:space="0" w:color="auto"/>
                <w:right w:val="none" w:sz="0" w:space="0" w:color="auto"/>
              </w:divBdr>
            </w:div>
            <w:div w:id="484205873">
              <w:marLeft w:val="0"/>
              <w:marRight w:val="0"/>
              <w:marTop w:val="0"/>
              <w:marBottom w:val="0"/>
              <w:divBdr>
                <w:top w:val="none" w:sz="0" w:space="0" w:color="auto"/>
                <w:left w:val="none" w:sz="0" w:space="0" w:color="auto"/>
                <w:bottom w:val="none" w:sz="0" w:space="0" w:color="auto"/>
                <w:right w:val="none" w:sz="0" w:space="0" w:color="auto"/>
              </w:divBdr>
            </w:div>
            <w:div w:id="845174224">
              <w:marLeft w:val="0"/>
              <w:marRight w:val="0"/>
              <w:marTop w:val="0"/>
              <w:marBottom w:val="0"/>
              <w:divBdr>
                <w:top w:val="none" w:sz="0" w:space="0" w:color="auto"/>
                <w:left w:val="none" w:sz="0" w:space="0" w:color="auto"/>
                <w:bottom w:val="none" w:sz="0" w:space="0" w:color="auto"/>
                <w:right w:val="none" w:sz="0" w:space="0" w:color="auto"/>
              </w:divBdr>
            </w:div>
            <w:div w:id="534466319">
              <w:marLeft w:val="0"/>
              <w:marRight w:val="0"/>
              <w:marTop w:val="0"/>
              <w:marBottom w:val="0"/>
              <w:divBdr>
                <w:top w:val="none" w:sz="0" w:space="0" w:color="auto"/>
                <w:left w:val="none" w:sz="0" w:space="0" w:color="auto"/>
                <w:bottom w:val="none" w:sz="0" w:space="0" w:color="auto"/>
                <w:right w:val="none" w:sz="0" w:space="0" w:color="auto"/>
              </w:divBdr>
            </w:div>
            <w:div w:id="403189070">
              <w:marLeft w:val="0"/>
              <w:marRight w:val="0"/>
              <w:marTop w:val="0"/>
              <w:marBottom w:val="0"/>
              <w:divBdr>
                <w:top w:val="none" w:sz="0" w:space="0" w:color="auto"/>
                <w:left w:val="none" w:sz="0" w:space="0" w:color="auto"/>
                <w:bottom w:val="none" w:sz="0" w:space="0" w:color="auto"/>
                <w:right w:val="none" w:sz="0" w:space="0" w:color="auto"/>
              </w:divBdr>
            </w:div>
            <w:div w:id="326791824">
              <w:marLeft w:val="0"/>
              <w:marRight w:val="0"/>
              <w:marTop w:val="0"/>
              <w:marBottom w:val="0"/>
              <w:divBdr>
                <w:top w:val="none" w:sz="0" w:space="0" w:color="auto"/>
                <w:left w:val="none" w:sz="0" w:space="0" w:color="auto"/>
                <w:bottom w:val="none" w:sz="0" w:space="0" w:color="auto"/>
                <w:right w:val="none" w:sz="0" w:space="0" w:color="auto"/>
              </w:divBdr>
            </w:div>
            <w:div w:id="1887646267">
              <w:marLeft w:val="0"/>
              <w:marRight w:val="0"/>
              <w:marTop w:val="0"/>
              <w:marBottom w:val="0"/>
              <w:divBdr>
                <w:top w:val="none" w:sz="0" w:space="0" w:color="auto"/>
                <w:left w:val="none" w:sz="0" w:space="0" w:color="auto"/>
                <w:bottom w:val="none" w:sz="0" w:space="0" w:color="auto"/>
                <w:right w:val="none" w:sz="0" w:space="0" w:color="auto"/>
              </w:divBdr>
              <w:divsChild>
                <w:div w:id="675421235">
                  <w:marLeft w:val="0"/>
                  <w:marRight w:val="0"/>
                  <w:marTop w:val="0"/>
                  <w:marBottom w:val="0"/>
                  <w:divBdr>
                    <w:top w:val="none" w:sz="0" w:space="0" w:color="auto"/>
                    <w:left w:val="none" w:sz="0" w:space="0" w:color="auto"/>
                    <w:bottom w:val="none" w:sz="0" w:space="0" w:color="auto"/>
                    <w:right w:val="none" w:sz="0" w:space="0" w:color="auto"/>
                  </w:divBdr>
                </w:div>
                <w:div w:id="1766464715">
                  <w:marLeft w:val="0"/>
                  <w:marRight w:val="0"/>
                  <w:marTop w:val="0"/>
                  <w:marBottom w:val="0"/>
                  <w:divBdr>
                    <w:top w:val="single" w:sz="8" w:space="0" w:color="000000"/>
                    <w:left w:val="single" w:sz="8" w:space="0" w:color="000000"/>
                    <w:bottom w:val="single" w:sz="8" w:space="0" w:color="000000"/>
                    <w:right w:val="single" w:sz="8" w:space="0" w:color="000000"/>
                  </w:divBdr>
                </w:div>
                <w:div w:id="548567555">
                  <w:marLeft w:val="0"/>
                  <w:marRight w:val="0"/>
                  <w:marTop w:val="0"/>
                  <w:marBottom w:val="0"/>
                  <w:divBdr>
                    <w:top w:val="none" w:sz="0" w:space="0" w:color="auto"/>
                    <w:left w:val="none" w:sz="0" w:space="0" w:color="auto"/>
                    <w:bottom w:val="none" w:sz="0" w:space="0" w:color="auto"/>
                    <w:right w:val="none" w:sz="0" w:space="0" w:color="auto"/>
                  </w:divBdr>
                </w:div>
              </w:divsChild>
            </w:div>
            <w:div w:id="452871811">
              <w:marLeft w:val="0"/>
              <w:marRight w:val="0"/>
              <w:marTop w:val="0"/>
              <w:marBottom w:val="0"/>
              <w:divBdr>
                <w:top w:val="none" w:sz="0" w:space="0" w:color="auto"/>
                <w:left w:val="none" w:sz="0" w:space="0" w:color="auto"/>
                <w:bottom w:val="none" w:sz="0" w:space="0" w:color="auto"/>
                <w:right w:val="none" w:sz="0" w:space="0" w:color="auto"/>
              </w:divBdr>
            </w:div>
            <w:div w:id="451556144">
              <w:marLeft w:val="0"/>
              <w:marRight w:val="0"/>
              <w:marTop w:val="0"/>
              <w:marBottom w:val="0"/>
              <w:divBdr>
                <w:top w:val="none" w:sz="0" w:space="0" w:color="auto"/>
                <w:left w:val="none" w:sz="0" w:space="0" w:color="auto"/>
                <w:bottom w:val="none" w:sz="0" w:space="0" w:color="auto"/>
                <w:right w:val="none" w:sz="0" w:space="0" w:color="auto"/>
              </w:divBdr>
            </w:div>
            <w:div w:id="1252275741">
              <w:marLeft w:val="0"/>
              <w:marRight w:val="0"/>
              <w:marTop w:val="0"/>
              <w:marBottom w:val="0"/>
              <w:divBdr>
                <w:top w:val="none" w:sz="0" w:space="0" w:color="auto"/>
                <w:left w:val="none" w:sz="0" w:space="0" w:color="auto"/>
                <w:bottom w:val="none" w:sz="0" w:space="0" w:color="auto"/>
                <w:right w:val="none" w:sz="0" w:space="0" w:color="auto"/>
              </w:divBdr>
            </w:div>
            <w:div w:id="491801022">
              <w:marLeft w:val="0"/>
              <w:marRight w:val="0"/>
              <w:marTop w:val="0"/>
              <w:marBottom w:val="0"/>
              <w:divBdr>
                <w:top w:val="none" w:sz="0" w:space="0" w:color="auto"/>
                <w:left w:val="none" w:sz="0" w:space="0" w:color="auto"/>
                <w:bottom w:val="none" w:sz="0" w:space="0" w:color="auto"/>
                <w:right w:val="none" w:sz="0" w:space="0" w:color="auto"/>
              </w:divBdr>
            </w:div>
            <w:div w:id="483086159">
              <w:marLeft w:val="0"/>
              <w:marRight w:val="0"/>
              <w:marTop w:val="0"/>
              <w:marBottom w:val="0"/>
              <w:divBdr>
                <w:top w:val="none" w:sz="0" w:space="0" w:color="auto"/>
                <w:left w:val="none" w:sz="0" w:space="0" w:color="auto"/>
                <w:bottom w:val="none" w:sz="0" w:space="0" w:color="auto"/>
                <w:right w:val="none" w:sz="0" w:space="0" w:color="auto"/>
              </w:divBdr>
            </w:div>
            <w:div w:id="412312546">
              <w:marLeft w:val="0"/>
              <w:marRight w:val="0"/>
              <w:marTop w:val="0"/>
              <w:marBottom w:val="0"/>
              <w:divBdr>
                <w:top w:val="none" w:sz="0" w:space="0" w:color="auto"/>
                <w:left w:val="none" w:sz="0" w:space="0" w:color="auto"/>
                <w:bottom w:val="none" w:sz="0" w:space="0" w:color="auto"/>
                <w:right w:val="none" w:sz="0" w:space="0" w:color="auto"/>
              </w:divBdr>
            </w:div>
            <w:div w:id="2117092479">
              <w:marLeft w:val="0"/>
              <w:marRight w:val="0"/>
              <w:marTop w:val="0"/>
              <w:marBottom w:val="0"/>
              <w:divBdr>
                <w:top w:val="none" w:sz="0" w:space="0" w:color="auto"/>
                <w:left w:val="none" w:sz="0" w:space="0" w:color="auto"/>
                <w:bottom w:val="none" w:sz="0" w:space="0" w:color="auto"/>
                <w:right w:val="none" w:sz="0" w:space="0" w:color="auto"/>
              </w:divBdr>
            </w:div>
            <w:div w:id="1373771634">
              <w:marLeft w:val="0"/>
              <w:marRight w:val="0"/>
              <w:marTop w:val="0"/>
              <w:marBottom w:val="0"/>
              <w:divBdr>
                <w:top w:val="none" w:sz="0" w:space="0" w:color="auto"/>
                <w:left w:val="none" w:sz="0" w:space="0" w:color="auto"/>
                <w:bottom w:val="none" w:sz="0" w:space="0" w:color="auto"/>
                <w:right w:val="none" w:sz="0" w:space="0" w:color="auto"/>
              </w:divBdr>
            </w:div>
            <w:div w:id="61566741">
              <w:marLeft w:val="0"/>
              <w:marRight w:val="0"/>
              <w:marTop w:val="0"/>
              <w:marBottom w:val="0"/>
              <w:divBdr>
                <w:top w:val="none" w:sz="0" w:space="0" w:color="auto"/>
                <w:left w:val="none" w:sz="0" w:space="0" w:color="auto"/>
                <w:bottom w:val="none" w:sz="0" w:space="0" w:color="auto"/>
                <w:right w:val="none" w:sz="0" w:space="0" w:color="auto"/>
              </w:divBdr>
            </w:div>
            <w:div w:id="1612781519">
              <w:marLeft w:val="0"/>
              <w:marRight w:val="0"/>
              <w:marTop w:val="0"/>
              <w:marBottom w:val="0"/>
              <w:divBdr>
                <w:top w:val="none" w:sz="0" w:space="0" w:color="auto"/>
                <w:left w:val="none" w:sz="0" w:space="0" w:color="auto"/>
                <w:bottom w:val="none" w:sz="0" w:space="0" w:color="auto"/>
                <w:right w:val="none" w:sz="0" w:space="0" w:color="auto"/>
              </w:divBdr>
              <w:divsChild>
                <w:div w:id="747658329">
                  <w:marLeft w:val="0"/>
                  <w:marRight w:val="0"/>
                  <w:marTop w:val="0"/>
                  <w:marBottom w:val="0"/>
                  <w:divBdr>
                    <w:top w:val="single" w:sz="8" w:space="0" w:color="000000"/>
                    <w:left w:val="single" w:sz="8" w:space="0" w:color="000000"/>
                    <w:bottom w:val="single" w:sz="8" w:space="0" w:color="000000"/>
                    <w:right w:val="single" w:sz="8" w:space="0" w:color="000000"/>
                  </w:divBdr>
                </w:div>
                <w:div w:id="1450278780">
                  <w:marLeft w:val="0"/>
                  <w:marRight w:val="0"/>
                  <w:marTop w:val="0"/>
                  <w:marBottom w:val="0"/>
                  <w:divBdr>
                    <w:top w:val="none" w:sz="0" w:space="0" w:color="auto"/>
                    <w:left w:val="none" w:sz="0" w:space="0" w:color="auto"/>
                    <w:bottom w:val="none" w:sz="0" w:space="0" w:color="auto"/>
                    <w:right w:val="none" w:sz="0" w:space="0" w:color="auto"/>
                  </w:divBdr>
                </w:div>
              </w:divsChild>
            </w:div>
            <w:div w:id="1838185076">
              <w:marLeft w:val="0"/>
              <w:marRight w:val="0"/>
              <w:marTop w:val="0"/>
              <w:marBottom w:val="0"/>
              <w:divBdr>
                <w:top w:val="none" w:sz="0" w:space="0" w:color="auto"/>
                <w:left w:val="none" w:sz="0" w:space="0" w:color="auto"/>
                <w:bottom w:val="none" w:sz="0" w:space="0" w:color="auto"/>
                <w:right w:val="none" w:sz="0" w:space="0" w:color="auto"/>
              </w:divBdr>
            </w:div>
          </w:divsChild>
        </w:div>
        <w:div w:id="660625946">
          <w:marLeft w:val="0"/>
          <w:marRight w:val="0"/>
          <w:marTop w:val="21"/>
          <w:marBottom w:val="52"/>
          <w:divBdr>
            <w:top w:val="single" w:sz="4" w:space="0" w:color="FFFFFF"/>
            <w:left w:val="single" w:sz="4" w:space="0" w:color="FFFFFF"/>
            <w:bottom w:val="single" w:sz="4" w:space="0" w:color="FFFFFF"/>
            <w:right w:val="single" w:sz="4" w:space="0" w:color="FFFFFF"/>
          </w:divBdr>
          <w:divsChild>
            <w:div w:id="1887600242">
              <w:marLeft w:val="0"/>
              <w:marRight w:val="0"/>
              <w:marTop w:val="0"/>
              <w:marBottom w:val="0"/>
              <w:divBdr>
                <w:top w:val="single" w:sz="4" w:space="0" w:color="FFFFFF"/>
                <w:left w:val="single" w:sz="4" w:space="5" w:color="FFFFFF"/>
                <w:bottom w:val="single" w:sz="4" w:space="0" w:color="FFFFFF"/>
                <w:right w:val="single" w:sz="4" w:space="0" w:color="FFFFFF"/>
              </w:divBdr>
            </w:div>
            <w:div w:id="113407272">
              <w:marLeft w:val="0"/>
              <w:marRight w:val="0"/>
              <w:marTop w:val="0"/>
              <w:marBottom w:val="0"/>
              <w:divBdr>
                <w:top w:val="single" w:sz="4" w:space="0" w:color="FFFFFF"/>
                <w:left w:val="single" w:sz="4" w:space="0" w:color="FFFFFF"/>
                <w:bottom w:val="single" w:sz="4" w:space="0" w:color="FFFFFF"/>
                <w:right w:val="single" w:sz="4" w:space="5" w:color="FFFFFF"/>
              </w:divBdr>
            </w:div>
          </w:divsChild>
        </w:div>
      </w:divsChild>
    </w:div>
    <w:div w:id="869956942">
      <w:bodyDiv w:val="1"/>
      <w:marLeft w:val="0"/>
      <w:marRight w:val="0"/>
      <w:marTop w:val="30"/>
      <w:marBottom w:val="750"/>
      <w:divBdr>
        <w:top w:val="none" w:sz="0" w:space="0" w:color="auto"/>
        <w:left w:val="none" w:sz="0" w:space="0" w:color="auto"/>
        <w:bottom w:val="none" w:sz="0" w:space="0" w:color="auto"/>
        <w:right w:val="none" w:sz="0" w:space="0" w:color="auto"/>
      </w:divBdr>
      <w:divsChild>
        <w:div w:id="693656839">
          <w:marLeft w:val="0"/>
          <w:marRight w:val="0"/>
          <w:marTop w:val="0"/>
          <w:marBottom w:val="0"/>
          <w:divBdr>
            <w:top w:val="none" w:sz="0" w:space="0" w:color="auto"/>
            <w:left w:val="none" w:sz="0" w:space="0" w:color="auto"/>
            <w:bottom w:val="none" w:sz="0" w:space="0" w:color="auto"/>
            <w:right w:val="none" w:sz="0" w:space="0" w:color="auto"/>
          </w:divBdr>
          <w:divsChild>
            <w:div w:id="510603474">
              <w:marLeft w:val="0"/>
              <w:marRight w:val="0"/>
              <w:marTop w:val="0"/>
              <w:marBottom w:val="0"/>
              <w:divBdr>
                <w:top w:val="none" w:sz="0" w:space="0" w:color="auto"/>
                <w:left w:val="none" w:sz="0" w:space="0" w:color="auto"/>
                <w:bottom w:val="none" w:sz="0" w:space="0" w:color="auto"/>
                <w:right w:val="none" w:sz="0" w:space="0" w:color="auto"/>
              </w:divBdr>
            </w:div>
            <w:div w:id="19547793">
              <w:marLeft w:val="0"/>
              <w:marRight w:val="0"/>
              <w:marTop w:val="0"/>
              <w:marBottom w:val="0"/>
              <w:divBdr>
                <w:top w:val="none" w:sz="0" w:space="0" w:color="auto"/>
                <w:left w:val="none" w:sz="0" w:space="0" w:color="auto"/>
                <w:bottom w:val="none" w:sz="0" w:space="0" w:color="auto"/>
                <w:right w:val="none" w:sz="0" w:space="0" w:color="auto"/>
              </w:divBdr>
            </w:div>
            <w:div w:id="956521145">
              <w:marLeft w:val="0"/>
              <w:marRight w:val="0"/>
              <w:marTop w:val="0"/>
              <w:marBottom w:val="0"/>
              <w:divBdr>
                <w:top w:val="none" w:sz="0" w:space="0" w:color="auto"/>
                <w:left w:val="none" w:sz="0" w:space="0" w:color="auto"/>
                <w:bottom w:val="none" w:sz="0" w:space="0" w:color="auto"/>
                <w:right w:val="none" w:sz="0" w:space="0" w:color="auto"/>
              </w:divBdr>
            </w:div>
            <w:div w:id="508368741">
              <w:marLeft w:val="0"/>
              <w:marRight w:val="0"/>
              <w:marTop w:val="0"/>
              <w:marBottom w:val="0"/>
              <w:divBdr>
                <w:top w:val="none" w:sz="0" w:space="0" w:color="auto"/>
                <w:left w:val="none" w:sz="0" w:space="0" w:color="auto"/>
                <w:bottom w:val="none" w:sz="0" w:space="0" w:color="auto"/>
                <w:right w:val="none" w:sz="0" w:space="0" w:color="auto"/>
              </w:divBdr>
            </w:div>
            <w:div w:id="2115326430">
              <w:marLeft w:val="0"/>
              <w:marRight w:val="0"/>
              <w:marTop w:val="0"/>
              <w:marBottom w:val="0"/>
              <w:divBdr>
                <w:top w:val="none" w:sz="0" w:space="0" w:color="auto"/>
                <w:left w:val="none" w:sz="0" w:space="0" w:color="auto"/>
                <w:bottom w:val="none" w:sz="0" w:space="0" w:color="auto"/>
                <w:right w:val="none" w:sz="0" w:space="0" w:color="auto"/>
              </w:divBdr>
            </w:div>
            <w:div w:id="1060329425">
              <w:marLeft w:val="0"/>
              <w:marRight w:val="0"/>
              <w:marTop w:val="0"/>
              <w:marBottom w:val="0"/>
              <w:divBdr>
                <w:top w:val="none" w:sz="0" w:space="0" w:color="auto"/>
                <w:left w:val="none" w:sz="0" w:space="0" w:color="auto"/>
                <w:bottom w:val="none" w:sz="0" w:space="0" w:color="auto"/>
                <w:right w:val="none" w:sz="0" w:space="0" w:color="auto"/>
              </w:divBdr>
            </w:div>
            <w:div w:id="299531020">
              <w:marLeft w:val="0"/>
              <w:marRight w:val="0"/>
              <w:marTop w:val="0"/>
              <w:marBottom w:val="0"/>
              <w:divBdr>
                <w:top w:val="none" w:sz="0" w:space="0" w:color="auto"/>
                <w:left w:val="none" w:sz="0" w:space="0" w:color="auto"/>
                <w:bottom w:val="none" w:sz="0" w:space="0" w:color="auto"/>
                <w:right w:val="none" w:sz="0" w:space="0" w:color="auto"/>
              </w:divBdr>
            </w:div>
            <w:div w:id="823666216">
              <w:marLeft w:val="0"/>
              <w:marRight w:val="0"/>
              <w:marTop w:val="0"/>
              <w:marBottom w:val="0"/>
              <w:divBdr>
                <w:top w:val="none" w:sz="0" w:space="0" w:color="auto"/>
                <w:left w:val="none" w:sz="0" w:space="0" w:color="auto"/>
                <w:bottom w:val="none" w:sz="0" w:space="0" w:color="auto"/>
                <w:right w:val="none" w:sz="0" w:space="0" w:color="auto"/>
              </w:divBdr>
            </w:div>
            <w:div w:id="1838812828">
              <w:marLeft w:val="0"/>
              <w:marRight w:val="0"/>
              <w:marTop w:val="0"/>
              <w:marBottom w:val="0"/>
              <w:divBdr>
                <w:top w:val="none" w:sz="0" w:space="0" w:color="auto"/>
                <w:left w:val="none" w:sz="0" w:space="0" w:color="auto"/>
                <w:bottom w:val="none" w:sz="0" w:space="0" w:color="auto"/>
                <w:right w:val="none" w:sz="0" w:space="0" w:color="auto"/>
              </w:divBdr>
            </w:div>
            <w:div w:id="1995646584">
              <w:marLeft w:val="0"/>
              <w:marRight w:val="0"/>
              <w:marTop w:val="0"/>
              <w:marBottom w:val="0"/>
              <w:divBdr>
                <w:top w:val="none" w:sz="0" w:space="0" w:color="auto"/>
                <w:left w:val="none" w:sz="0" w:space="0" w:color="auto"/>
                <w:bottom w:val="none" w:sz="0" w:space="0" w:color="auto"/>
                <w:right w:val="none" w:sz="0" w:space="0" w:color="auto"/>
              </w:divBdr>
            </w:div>
            <w:div w:id="1568806153">
              <w:marLeft w:val="0"/>
              <w:marRight w:val="0"/>
              <w:marTop w:val="0"/>
              <w:marBottom w:val="0"/>
              <w:divBdr>
                <w:top w:val="none" w:sz="0" w:space="0" w:color="auto"/>
                <w:left w:val="none" w:sz="0" w:space="0" w:color="auto"/>
                <w:bottom w:val="none" w:sz="0" w:space="0" w:color="auto"/>
                <w:right w:val="none" w:sz="0" w:space="0" w:color="auto"/>
              </w:divBdr>
            </w:div>
            <w:div w:id="2140802685">
              <w:marLeft w:val="0"/>
              <w:marRight w:val="0"/>
              <w:marTop w:val="0"/>
              <w:marBottom w:val="0"/>
              <w:divBdr>
                <w:top w:val="none" w:sz="0" w:space="0" w:color="auto"/>
                <w:left w:val="none" w:sz="0" w:space="0" w:color="auto"/>
                <w:bottom w:val="none" w:sz="0" w:space="0" w:color="auto"/>
                <w:right w:val="none" w:sz="0" w:space="0" w:color="auto"/>
              </w:divBdr>
              <w:divsChild>
                <w:div w:id="89569754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983273">
              <w:marLeft w:val="0"/>
              <w:marRight w:val="0"/>
              <w:marTop w:val="0"/>
              <w:marBottom w:val="0"/>
              <w:divBdr>
                <w:top w:val="none" w:sz="0" w:space="0" w:color="auto"/>
                <w:left w:val="none" w:sz="0" w:space="0" w:color="auto"/>
                <w:bottom w:val="none" w:sz="0" w:space="0" w:color="auto"/>
                <w:right w:val="none" w:sz="0" w:space="0" w:color="auto"/>
              </w:divBdr>
              <w:divsChild>
                <w:div w:id="1820077619">
                  <w:marLeft w:val="0"/>
                  <w:marRight w:val="0"/>
                  <w:marTop w:val="0"/>
                  <w:marBottom w:val="0"/>
                  <w:divBdr>
                    <w:top w:val="none" w:sz="0" w:space="0" w:color="auto"/>
                    <w:left w:val="none" w:sz="0" w:space="0" w:color="auto"/>
                    <w:bottom w:val="none" w:sz="0" w:space="0" w:color="auto"/>
                    <w:right w:val="none" w:sz="0" w:space="0" w:color="auto"/>
                  </w:divBdr>
                </w:div>
                <w:div w:id="191654793">
                  <w:marLeft w:val="0"/>
                  <w:marRight w:val="0"/>
                  <w:marTop w:val="0"/>
                  <w:marBottom w:val="0"/>
                  <w:divBdr>
                    <w:top w:val="single" w:sz="12" w:space="0" w:color="000000"/>
                    <w:left w:val="single" w:sz="12" w:space="0" w:color="000000"/>
                    <w:bottom w:val="single" w:sz="12" w:space="0" w:color="000000"/>
                    <w:right w:val="single" w:sz="12" w:space="0" w:color="000000"/>
                  </w:divBdr>
                </w:div>
                <w:div w:id="298922398">
                  <w:marLeft w:val="0"/>
                  <w:marRight w:val="0"/>
                  <w:marTop w:val="0"/>
                  <w:marBottom w:val="0"/>
                  <w:divBdr>
                    <w:top w:val="none" w:sz="0" w:space="0" w:color="auto"/>
                    <w:left w:val="none" w:sz="0" w:space="0" w:color="auto"/>
                    <w:bottom w:val="none" w:sz="0" w:space="0" w:color="auto"/>
                    <w:right w:val="none" w:sz="0" w:space="0" w:color="auto"/>
                  </w:divBdr>
                </w:div>
              </w:divsChild>
            </w:div>
            <w:div w:id="180971074">
              <w:marLeft w:val="0"/>
              <w:marRight w:val="0"/>
              <w:marTop w:val="0"/>
              <w:marBottom w:val="0"/>
              <w:divBdr>
                <w:top w:val="none" w:sz="0" w:space="0" w:color="auto"/>
                <w:left w:val="none" w:sz="0" w:space="0" w:color="auto"/>
                <w:bottom w:val="none" w:sz="0" w:space="0" w:color="auto"/>
                <w:right w:val="none" w:sz="0" w:space="0" w:color="auto"/>
              </w:divBdr>
              <w:divsChild>
                <w:div w:id="1577400876">
                  <w:marLeft w:val="0"/>
                  <w:marRight w:val="0"/>
                  <w:marTop w:val="0"/>
                  <w:marBottom w:val="0"/>
                  <w:divBdr>
                    <w:top w:val="none" w:sz="0" w:space="0" w:color="auto"/>
                    <w:left w:val="none" w:sz="0" w:space="0" w:color="auto"/>
                    <w:bottom w:val="none" w:sz="0" w:space="0" w:color="auto"/>
                    <w:right w:val="none" w:sz="0" w:space="0" w:color="auto"/>
                  </w:divBdr>
                </w:div>
                <w:div w:id="22757081">
                  <w:marLeft w:val="0"/>
                  <w:marRight w:val="0"/>
                  <w:marTop w:val="0"/>
                  <w:marBottom w:val="0"/>
                  <w:divBdr>
                    <w:top w:val="single" w:sz="12" w:space="0" w:color="000000"/>
                    <w:left w:val="single" w:sz="12" w:space="0" w:color="000000"/>
                    <w:bottom w:val="single" w:sz="12" w:space="0" w:color="000000"/>
                    <w:right w:val="single" w:sz="12" w:space="0" w:color="000000"/>
                  </w:divBdr>
                </w:div>
                <w:div w:id="563443634">
                  <w:marLeft w:val="0"/>
                  <w:marRight w:val="0"/>
                  <w:marTop w:val="0"/>
                  <w:marBottom w:val="0"/>
                  <w:divBdr>
                    <w:top w:val="none" w:sz="0" w:space="0" w:color="auto"/>
                    <w:left w:val="none" w:sz="0" w:space="0" w:color="auto"/>
                    <w:bottom w:val="none" w:sz="0" w:space="0" w:color="auto"/>
                    <w:right w:val="none" w:sz="0" w:space="0" w:color="auto"/>
                  </w:divBdr>
                </w:div>
              </w:divsChild>
            </w:div>
            <w:div w:id="2050762018">
              <w:marLeft w:val="0"/>
              <w:marRight w:val="0"/>
              <w:marTop w:val="0"/>
              <w:marBottom w:val="0"/>
              <w:divBdr>
                <w:top w:val="none" w:sz="0" w:space="0" w:color="auto"/>
                <w:left w:val="none" w:sz="0" w:space="0" w:color="auto"/>
                <w:bottom w:val="none" w:sz="0" w:space="0" w:color="auto"/>
                <w:right w:val="none" w:sz="0" w:space="0" w:color="auto"/>
              </w:divBdr>
              <w:divsChild>
                <w:div w:id="297808982">
                  <w:marLeft w:val="0"/>
                  <w:marRight w:val="0"/>
                  <w:marTop w:val="0"/>
                  <w:marBottom w:val="0"/>
                  <w:divBdr>
                    <w:top w:val="none" w:sz="0" w:space="0" w:color="auto"/>
                    <w:left w:val="none" w:sz="0" w:space="0" w:color="auto"/>
                    <w:bottom w:val="none" w:sz="0" w:space="0" w:color="auto"/>
                    <w:right w:val="none" w:sz="0" w:space="0" w:color="auto"/>
                  </w:divBdr>
                </w:div>
                <w:div w:id="50255226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69900884">
              <w:marLeft w:val="0"/>
              <w:marRight w:val="0"/>
              <w:marTop w:val="0"/>
              <w:marBottom w:val="0"/>
              <w:divBdr>
                <w:top w:val="none" w:sz="0" w:space="0" w:color="auto"/>
                <w:left w:val="none" w:sz="0" w:space="0" w:color="auto"/>
                <w:bottom w:val="none" w:sz="0" w:space="0" w:color="auto"/>
                <w:right w:val="none" w:sz="0" w:space="0" w:color="auto"/>
              </w:divBdr>
              <w:divsChild>
                <w:div w:id="771359265">
                  <w:marLeft w:val="0"/>
                  <w:marRight w:val="0"/>
                  <w:marTop w:val="0"/>
                  <w:marBottom w:val="0"/>
                  <w:divBdr>
                    <w:top w:val="none" w:sz="0" w:space="0" w:color="auto"/>
                    <w:left w:val="none" w:sz="0" w:space="0" w:color="auto"/>
                    <w:bottom w:val="none" w:sz="0" w:space="0" w:color="auto"/>
                    <w:right w:val="none" w:sz="0" w:space="0" w:color="auto"/>
                  </w:divBdr>
                </w:div>
                <w:div w:id="17390140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46644824">
              <w:marLeft w:val="0"/>
              <w:marRight w:val="0"/>
              <w:marTop w:val="0"/>
              <w:marBottom w:val="0"/>
              <w:divBdr>
                <w:top w:val="none" w:sz="0" w:space="0" w:color="auto"/>
                <w:left w:val="none" w:sz="0" w:space="0" w:color="auto"/>
                <w:bottom w:val="none" w:sz="0" w:space="0" w:color="auto"/>
                <w:right w:val="none" w:sz="0" w:space="0" w:color="auto"/>
              </w:divBdr>
              <w:divsChild>
                <w:div w:id="635839667">
                  <w:marLeft w:val="0"/>
                  <w:marRight w:val="0"/>
                  <w:marTop w:val="0"/>
                  <w:marBottom w:val="0"/>
                  <w:divBdr>
                    <w:top w:val="none" w:sz="0" w:space="0" w:color="auto"/>
                    <w:left w:val="none" w:sz="0" w:space="0" w:color="auto"/>
                    <w:bottom w:val="none" w:sz="0" w:space="0" w:color="auto"/>
                    <w:right w:val="none" w:sz="0" w:space="0" w:color="auto"/>
                  </w:divBdr>
                </w:div>
                <w:div w:id="134489236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04115556">
              <w:marLeft w:val="0"/>
              <w:marRight w:val="0"/>
              <w:marTop w:val="0"/>
              <w:marBottom w:val="0"/>
              <w:divBdr>
                <w:top w:val="none" w:sz="0" w:space="0" w:color="auto"/>
                <w:left w:val="none" w:sz="0" w:space="0" w:color="auto"/>
                <w:bottom w:val="none" w:sz="0" w:space="0" w:color="auto"/>
                <w:right w:val="none" w:sz="0" w:space="0" w:color="auto"/>
              </w:divBdr>
              <w:divsChild>
                <w:div w:id="1951546244">
                  <w:marLeft w:val="0"/>
                  <w:marRight w:val="0"/>
                  <w:marTop w:val="0"/>
                  <w:marBottom w:val="0"/>
                  <w:divBdr>
                    <w:top w:val="none" w:sz="0" w:space="0" w:color="auto"/>
                    <w:left w:val="none" w:sz="0" w:space="0" w:color="auto"/>
                    <w:bottom w:val="none" w:sz="0" w:space="0" w:color="auto"/>
                    <w:right w:val="none" w:sz="0" w:space="0" w:color="auto"/>
                  </w:divBdr>
                </w:div>
                <w:div w:id="10170058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6553486">
              <w:marLeft w:val="0"/>
              <w:marRight w:val="0"/>
              <w:marTop w:val="0"/>
              <w:marBottom w:val="0"/>
              <w:divBdr>
                <w:top w:val="none" w:sz="0" w:space="0" w:color="auto"/>
                <w:left w:val="none" w:sz="0" w:space="0" w:color="auto"/>
                <w:bottom w:val="none" w:sz="0" w:space="0" w:color="auto"/>
                <w:right w:val="none" w:sz="0" w:space="0" w:color="auto"/>
              </w:divBdr>
              <w:divsChild>
                <w:div w:id="67575430">
                  <w:marLeft w:val="0"/>
                  <w:marRight w:val="0"/>
                  <w:marTop w:val="0"/>
                  <w:marBottom w:val="0"/>
                  <w:divBdr>
                    <w:top w:val="none" w:sz="0" w:space="0" w:color="auto"/>
                    <w:left w:val="none" w:sz="0" w:space="0" w:color="auto"/>
                    <w:bottom w:val="none" w:sz="0" w:space="0" w:color="auto"/>
                    <w:right w:val="none" w:sz="0" w:space="0" w:color="auto"/>
                  </w:divBdr>
                </w:div>
                <w:div w:id="141636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837151">
              <w:marLeft w:val="0"/>
              <w:marRight w:val="0"/>
              <w:marTop w:val="0"/>
              <w:marBottom w:val="0"/>
              <w:divBdr>
                <w:top w:val="none" w:sz="0" w:space="0" w:color="auto"/>
                <w:left w:val="none" w:sz="0" w:space="0" w:color="auto"/>
                <w:bottom w:val="none" w:sz="0" w:space="0" w:color="auto"/>
                <w:right w:val="none" w:sz="0" w:space="0" w:color="auto"/>
              </w:divBdr>
              <w:divsChild>
                <w:div w:id="1142231210">
                  <w:marLeft w:val="0"/>
                  <w:marRight w:val="0"/>
                  <w:marTop w:val="0"/>
                  <w:marBottom w:val="0"/>
                  <w:divBdr>
                    <w:top w:val="none" w:sz="0" w:space="0" w:color="auto"/>
                    <w:left w:val="none" w:sz="0" w:space="0" w:color="auto"/>
                    <w:bottom w:val="none" w:sz="0" w:space="0" w:color="auto"/>
                    <w:right w:val="none" w:sz="0" w:space="0" w:color="auto"/>
                  </w:divBdr>
                </w:div>
                <w:div w:id="17261798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177998">
              <w:marLeft w:val="0"/>
              <w:marRight w:val="0"/>
              <w:marTop w:val="0"/>
              <w:marBottom w:val="0"/>
              <w:divBdr>
                <w:top w:val="none" w:sz="0" w:space="0" w:color="auto"/>
                <w:left w:val="none" w:sz="0" w:space="0" w:color="auto"/>
                <w:bottom w:val="none" w:sz="0" w:space="0" w:color="auto"/>
                <w:right w:val="none" w:sz="0" w:space="0" w:color="auto"/>
              </w:divBdr>
              <w:divsChild>
                <w:div w:id="999507959">
                  <w:marLeft w:val="0"/>
                  <w:marRight w:val="0"/>
                  <w:marTop w:val="0"/>
                  <w:marBottom w:val="0"/>
                  <w:divBdr>
                    <w:top w:val="none" w:sz="0" w:space="0" w:color="auto"/>
                    <w:left w:val="none" w:sz="0" w:space="0" w:color="auto"/>
                    <w:bottom w:val="none" w:sz="0" w:space="0" w:color="auto"/>
                    <w:right w:val="none" w:sz="0" w:space="0" w:color="auto"/>
                  </w:divBdr>
                </w:div>
                <w:div w:id="13526101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45804512">
              <w:marLeft w:val="0"/>
              <w:marRight w:val="0"/>
              <w:marTop w:val="0"/>
              <w:marBottom w:val="0"/>
              <w:divBdr>
                <w:top w:val="none" w:sz="0" w:space="0" w:color="auto"/>
                <w:left w:val="none" w:sz="0" w:space="0" w:color="auto"/>
                <w:bottom w:val="none" w:sz="0" w:space="0" w:color="auto"/>
                <w:right w:val="none" w:sz="0" w:space="0" w:color="auto"/>
              </w:divBdr>
              <w:divsChild>
                <w:div w:id="169026314">
                  <w:marLeft w:val="0"/>
                  <w:marRight w:val="0"/>
                  <w:marTop w:val="0"/>
                  <w:marBottom w:val="0"/>
                  <w:divBdr>
                    <w:top w:val="none" w:sz="0" w:space="0" w:color="auto"/>
                    <w:left w:val="none" w:sz="0" w:space="0" w:color="auto"/>
                    <w:bottom w:val="none" w:sz="0" w:space="0" w:color="auto"/>
                    <w:right w:val="none" w:sz="0" w:space="0" w:color="auto"/>
                  </w:divBdr>
                </w:div>
                <w:div w:id="4049627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54802172">
              <w:marLeft w:val="0"/>
              <w:marRight w:val="0"/>
              <w:marTop w:val="0"/>
              <w:marBottom w:val="0"/>
              <w:divBdr>
                <w:top w:val="none" w:sz="0" w:space="0" w:color="auto"/>
                <w:left w:val="none" w:sz="0" w:space="0" w:color="auto"/>
                <w:bottom w:val="none" w:sz="0" w:space="0" w:color="auto"/>
                <w:right w:val="none" w:sz="0" w:space="0" w:color="auto"/>
              </w:divBdr>
              <w:divsChild>
                <w:div w:id="1769764429">
                  <w:marLeft w:val="0"/>
                  <w:marRight w:val="0"/>
                  <w:marTop w:val="0"/>
                  <w:marBottom w:val="0"/>
                  <w:divBdr>
                    <w:top w:val="none" w:sz="0" w:space="0" w:color="auto"/>
                    <w:left w:val="none" w:sz="0" w:space="0" w:color="auto"/>
                    <w:bottom w:val="none" w:sz="0" w:space="0" w:color="auto"/>
                    <w:right w:val="none" w:sz="0" w:space="0" w:color="auto"/>
                  </w:divBdr>
                </w:div>
                <w:div w:id="66420833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44348072">
              <w:marLeft w:val="0"/>
              <w:marRight w:val="0"/>
              <w:marTop w:val="0"/>
              <w:marBottom w:val="0"/>
              <w:divBdr>
                <w:top w:val="none" w:sz="0" w:space="0" w:color="auto"/>
                <w:left w:val="none" w:sz="0" w:space="0" w:color="auto"/>
                <w:bottom w:val="none" w:sz="0" w:space="0" w:color="auto"/>
                <w:right w:val="none" w:sz="0" w:space="0" w:color="auto"/>
              </w:divBdr>
              <w:divsChild>
                <w:div w:id="1970671753">
                  <w:marLeft w:val="0"/>
                  <w:marRight w:val="0"/>
                  <w:marTop w:val="0"/>
                  <w:marBottom w:val="0"/>
                  <w:divBdr>
                    <w:top w:val="none" w:sz="0" w:space="0" w:color="auto"/>
                    <w:left w:val="none" w:sz="0" w:space="0" w:color="auto"/>
                    <w:bottom w:val="none" w:sz="0" w:space="0" w:color="auto"/>
                    <w:right w:val="none" w:sz="0" w:space="0" w:color="auto"/>
                  </w:divBdr>
                </w:div>
                <w:div w:id="866540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3823547">
              <w:marLeft w:val="0"/>
              <w:marRight w:val="0"/>
              <w:marTop w:val="0"/>
              <w:marBottom w:val="0"/>
              <w:divBdr>
                <w:top w:val="none" w:sz="0" w:space="0" w:color="auto"/>
                <w:left w:val="none" w:sz="0" w:space="0" w:color="auto"/>
                <w:bottom w:val="none" w:sz="0" w:space="0" w:color="auto"/>
                <w:right w:val="none" w:sz="0" w:space="0" w:color="auto"/>
              </w:divBdr>
              <w:divsChild>
                <w:div w:id="2010056707">
                  <w:marLeft w:val="0"/>
                  <w:marRight w:val="0"/>
                  <w:marTop w:val="0"/>
                  <w:marBottom w:val="0"/>
                  <w:divBdr>
                    <w:top w:val="none" w:sz="0" w:space="0" w:color="auto"/>
                    <w:left w:val="none" w:sz="0" w:space="0" w:color="auto"/>
                    <w:bottom w:val="none" w:sz="0" w:space="0" w:color="auto"/>
                    <w:right w:val="none" w:sz="0" w:space="0" w:color="auto"/>
                  </w:divBdr>
                </w:div>
                <w:div w:id="636025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6967061">
              <w:marLeft w:val="0"/>
              <w:marRight w:val="0"/>
              <w:marTop w:val="0"/>
              <w:marBottom w:val="0"/>
              <w:divBdr>
                <w:top w:val="none" w:sz="0" w:space="0" w:color="auto"/>
                <w:left w:val="none" w:sz="0" w:space="0" w:color="auto"/>
                <w:bottom w:val="none" w:sz="0" w:space="0" w:color="auto"/>
                <w:right w:val="none" w:sz="0" w:space="0" w:color="auto"/>
              </w:divBdr>
              <w:divsChild>
                <w:div w:id="1679963620">
                  <w:marLeft w:val="0"/>
                  <w:marRight w:val="0"/>
                  <w:marTop w:val="0"/>
                  <w:marBottom w:val="0"/>
                  <w:divBdr>
                    <w:top w:val="none" w:sz="0" w:space="0" w:color="auto"/>
                    <w:left w:val="none" w:sz="0" w:space="0" w:color="auto"/>
                    <w:bottom w:val="none" w:sz="0" w:space="0" w:color="auto"/>
                    <w:right w:val="none" w:sz="0" w:space="0" w:color="auto"/>
                  </w:divBdr>
                </w:div>
                <w:div w:id="5385164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50667372">
              <w:marLeft w:val="0"/>
              <w:marRight w:val="0"/>
              <w:marTop w:val="0"/>
              <w:marBottom w:val="0"/>
              <w:divBdr>
                <w:top w:val="none" w:sz="0" w:space="0" w:color="auto"/>
                <w:left w:val="none" w:sz="0" w:space="0" w:color="auto"/>
                <w:bottom w:val="none" w:sz="0" w:space="0" w:color="auto"/>
                <w:right w:val="none" w:sz="0" w:space="0" w:color="auto"/>
              </w:divBdr>
              <w:divsChild>
                <w:div w:id="873616838">
                  <w:marLeft w:val="0"/>
                  <w:marRight w:val="0"/>
                  <w:marTop w:val="0"/>
                  <w:marBottom w:val="0"/>
                  <w:divBdr>
                    <w:top w:val="none" w:sz="0" w:space="0" w:color="auto"/>
                    <w:left w:val="none" w:sz="0" w:space="0" w:color="auto"/>
                    <w:bottom w:val="none" w:sz="0" w:space="0" w:color="auto"/>
                    <w:right w:val="none" w:sz="0" w:space="0" w:color="auto"/>
                  </w:divBdr>
                </w:div>
                <w:div w:id="321355705">
                  <w:marLeft w:val="0"/>
                  <w:marRight w:val="0"/>
                  <w:marTop w:val="0"/>
                  <w:marBottom w:val="0"/>
                  <w:divBdr>
                    <w:top w:val="single" w:sz="12" w:space="0" w:color="000000"/>
                    <w:left w:val="single" w:sz="12" w:space="0" w:color="000000"/>
                    <w:bottom w:val="single" w:sz="12" w:space="0" w:color="000000"/>
                    <w:right w:val="single" w:sz="12" w:space="0" w:color="000000"/>
                  </w:divBdr>
                </w:div>
                <w:div w:id="22633697">
                  <w:marLeft w:val="0"/>
                  <w:marRight w:val="0"/>
                  <w:marTop w:val="0"/>
                  <w:marBottom w:val="0"/>
                  <w:divBdr>
                    <w:top w:val="none" w:sz="0" w:space="0" w:color="auto"/>
                    <w:left w:val="none" w:sz="0" w:space="0" w:color="auto"/>
                    <w:bottom w:val="none" w:sz="0" w:space="0" w:color="auto"/>
                    <w:right w:val="none" w:sz="0" w:space="0" w:color="auto"/>
                  </w:divBdr>
                </w:div>
              </w:divsChild>
            </w:div>
            <w:div w:id="458115285">
              <w:marLeft w:val="0"/>
              <w:marRight w:val="0"/>
              <w:marTop w:val="0"/>
              <w:marBottom w:val="0"/>
              <w:divBdr>
                <w:top w:val="none" w:sz="0" w:space="0" w:color="auto"/>
                <w:left w:val="none" w:sz="0" w:space="0" w:color="auto"/>
                <w:bottom w:val="none" w:sz="0" w:space="0" w:color="auto"/>
                <w:right w:val="none" w:sz="0" w:space="0" w:color="auto"/>
              </w:divBdr>
            </w:div>
            <w:div w:id="974338784">
              <w:marLeft w:val="0"/>
              <w:marRight w:val="0"/>
              <w:marTop w:val="0"/>
              <w:marBottom w:val="0"/>
              <w:divBdr>
                <w:top w:val="none" w:sz="0" w:space="0" w:color="auto"/>
                <w:left w:val="none" w:sz="0" w:space="0" w:color="auto"/>
                <w:bottom w:val="none" w:sz="0" w:space="0" w:color="auto"/>
                <w:right w:val="none" w:sz="0" w:space="0" w:color="auto"/>
              </w:divBdr>
            </w:div>
            <w:div w:id="751198119">
              <w:marLeft w:val="0"/>
              <w:marRight w:val="0"/>
              <w:marTop w:val="0"/>
              <w:marBottom w:val="0"/>
              <w:divBdr>
                <w:top w:val="none" w:sz="0" w:space="0" w:color="auto"/>
                <w:left w:val="none" w:sz="0" w:space="0" w:color="auto"/>
                <w:bottom w:val="none" w:sz="0" w:space="0" w:color="auto"/>
                <w:right w:val="none" w:sz="0" w:space="0" w:color="auto"/>
              </w:divBdr>
            </w:div>
            <w:div w:id="233509446">
              <w:marLeft w:val="0"/>
              <w:marRight w:val="0"/>
              <w:marTop w:val="0"/>
              <w:marBottom w:val="0"/>
              <w:divBdr>
                <w:top w:val="none" w:sz="0" w:space="0" w:color="auto"/>
                <w:left w:val="none" w:sz="0" w:space="0" w:color="auto"/>
                <w:bottom w:val="none" w:sz="0" w:space="0" w:color="auto"/>
                <w:right w:val="none" w:sz="0" w:space="0" w:color="auto"/>
              </w:divBdr>
              <w:divsChild>
                <w:div w:id="838469765">
                  <w:marLeft w:val="0"/>
                  <w:marRight w:val="0"/>
                  <w:marTop w:val="330"/>
                  <w:marBottom w:val="0"/>
                  <w:divBdr>
                    <w:top w:val="single" w:sz="6" w:space="0" w:color="000000"/>
                    <w:left w:val="none" w:sz="0" w:space="0" w:color="auto"/>
                    <w:bottom w:val="none" w:sz="0" w:space="0" w:color="auto"/>
                    <w:right w:val="none" w:sz="0" w:space="0" w:color="auto"/>
                  </w:divBdr>
                </w:div>
                <w:div w:id="1715960295">
                  <w:marLeft w:val="0"/>
                  <w:marRight w:val="0"/>
                  <w:marTop w:val="330"/>
                  <w:marBottom w:val="0"/>
                  <w:divBdr>
                    <w:top w:val="single" w:sz="6" w:space="0" w:color="000000"/>
                    <w:left w:val="none" w:sz="0" w:space="0" w:color="auto"/>
                    <w:bottom w:val="none" w:sz="0" w:space="0" w:color="auto"/>
                    <w:right w:val="none" w:sz="0" w:space="0" w:color="auto"/>
                  </w:divBdr>
                </w:div>
                <w:div w:id="1051999272">
                  <w:marLeft w:val="0"/>
                  <w:marRight w:val="0"/>
                  <w:marTop w:val="330"/>
                  <w:marBottom w:val="0"/>
                  <w:divBdr>
                    <w:top w:val="single" w:sz="6" w:space="0" w:color="000000"/>
                    <w:left w:val="none" w:sz="0" w:space="0" w:color="auto"/>
                    <w:bottom w:val="none" w:sz="0" w:space="0" w:color="auto"/>
                    <w:right w:val="none" w:sz="0" w:space="0" w:color="auto"/>
                  </w:divBdr>
                </w:div>
                <w:div w:id="1982423819">
                  <w:marLeft w:val="0"/>
                  <w:marRight w:val="0"/>
                  <w:marTop w:val="330"/>
                  <w:marBottom w:val="0"/>
                  <w:divBdr>
                    <w:top w:val="single" w:sz="6" w:space="0" w:color="000000"/>
                    <w:left w:val="none" w:sz="0" w:space="0" w:color="auto"/>
                    <w:bottom w:val="none" w:sz="0" w:space="0" w:color="auto"/>
                    <w:right w:val="none" w:sz="0" w:space="0" w:color="auto"/>
                  </w:divBdr>
                </w:div>
                <w:div w:id="702051551">
                  <w:marLeft w:val="0"/>
                  <w:marRight w:val="0"/>
                  <w:marTop w:val="0"/>
                  <w:marBottom w:val="0"/>
                  <w:divBdr>
                    <w:top w:val="none" w:sz="0" w:space="0" w:color="auto"/>
                    <w:left w:val="none" w:sz="0" w:space="0" w:color="auto"/>
                    <w:bottom w:val="none" w:sz="0" w:space="0" w:color="auto"/>
                    <w:right w:val="none" w:sz="0" w:space="0" w:color="auto"/>
                  </w:divBdr>
                  <w:divsChild>
                    <w:div w:id="2074349170">
                      <w:marLeft w:val="0"/>
                      <w:marRight w:val="0"/>
                      <w:marTop w:val="0"/>
                      <w:marBottom w:val="0"/>
                      <w:divBdr>
                        <w:top w:val="single" w:sz="12" w:space="0" w:color="000000"/>
                        <w:left w:val="single" w:sz="12" w:space="0" w:color="000000"/>
                        <w:bottom w:val="single" w:sz="12" w:space="0" w:color="000000"/>
                        <w:right w:val="single" w:sz="12" w:space="0" w:color="000000"/>
                      </w:divBdr>
                    </w:div>
                    <w:div w:id="867985640">
                      <w:marLeft w:val="0"/>
                      <w:marRight w:val="0"/>
                      <w:marTop w:val="0"/>
                      <w:marBottom w:val="0"/>
                      <w:divBdr>
                        <w:top w:val="none" w:sz="0" w:space="0" w:color="auto"/>
                        <w:left w:val="none" w:sz="0" w:space="0" w:color="auto"/>
                        <w:bottom w:val="none" w:sz="0" w:space="0" w:color="auto"/>
                        <w:right w:val="none" w:sz="0" w:space="0" w:color="auto"/>
                      </w:divBdr>
                    </w:div>
                  </w:divsChild>
                </w:div>
                <w:div w:id="732855800">
                  <w:marLeft w:val="0"/>
                  <w:marRight w:val="0"/>
                  <w:marTop w:val="330"/>
                  <w:marBottom w:val="0"/>
                  <w:divBdr>
                    <w:top w:val="single" w:sz="6" w:space="0" w:color="000000"/>
                    <w:left w:val="none" w:sz="0" w:space="0" w:color="auto"/>
                    <w:bottom w:val="none" w:sz="0" w:space="0" w:color="auto"/>
                    <w:right w:val="none" w:sz="0" w:space="0" w:color="auto"/>
                  </w:divBdr>
                </w:div>
                <w:div w:id="1327397565">
                  <w:marLeft w:val="0"/>
                  <w:marRight w:val="0"/>
                  <w:marTop w:val="330"/>
                  <w:marBottom w:val="0"/>
                  <w:divBdr>
                    <w:top w:val="single" w:sz="6" w:space="0" w:color="000000"/>
                    <w:left w:val="none" w:sz="0" w:space="0" w:color="auto"/>
                    <w:bottom w:val="none" w:sz="0" w:space="0" w:color="auto"/>
                    <w:right w:val="none" w:sz="0" w:space="0" w:color="auto"/>
                  </w:divBdr>
                </w:div>
                <w:div w:id="1423993762">
                  <w:marLeft w:val="0"/>
                  <w:marRight w:val="0"/>
                  <w:marTop w:val="330"/>
                  <w:marBottom w:val="0"/>
                  <w:divBdr>
                    <w:top w:val="single" w:sz="6" w:space="0" w:color="000000"/>
                    <w:left w:val="none" w:sz="0" w:space="0" w:color="auto"/>
                    <w:bottom w:val="none" w:sz="0" w:space="0" w:color="auto"/>
                    <w:right w:val="none" w:sz="0" w:space="0" w:color="auto"/>
                  </w:divBdr>
                </w:div>
                <w:div w:id="1173837093">
                  <w:marLeft w:val="0"/>
                  <w:marRight w:val="0"/>
                  <w:marTop w:val="330"/>
                  <w:marBottom w:val="0"/>
                  <w:divBdr>
                    <w:top w:val="single" w:sz="6" w:space="0" w:color="000000"/>
                    <w:left w:val="none" w:sz="0" w:space="0" w:color="auto"/>
                    <w:bottom w:val="none" w:sz="0" w:space="0" w:color="auto"/>
                    <w:right w:val="none" w:sz="0" w:space="0" w:color="auto"/>
                  </w:divBdr>
                </w:div>
              </w:divsChild>
            </w:div>
            <w:div w:id="364405672">
              <w:marLeft w:val="0"/>
              <w:marRight w:val="0"/>
              <w:marTop w:val="0"/>
              <w:marBottom w:val="0"/>
              <w:divBdr>
                <w:top w:val="none" w:sz="0" w:space="0" w:color="auto"/>
                <w:left w:val="none" w:sz="0" w:space="0" w:color="auto"/>
                <w:bottom w:val="none" w:sz="0" w:space="0" w:color="auto"/>
                <w:right w:val="none" w:sz="0" w:space="0" w:color="auto"/>
              </w:divBdr>
            </w:div>
            <w:div w:id="981421639">
              <w:marLeft w:val="0"/>
              <w:marRight w:val="0"/>
              <w:marTop w:val="0"/>
              <w:marBottom w:val="0"/>
              <w:divBdr>
                <w:top w:val="none" w:sz="0" w:space="0" w:color="auto"/>
                <w:left w:val="none" w:sz="0" w:space="0" w:color="auto"/>
                <w:bottom w:val="none" w:sz="0" w:space="0" w:color="auto"/>
                <w:right w:val="none" w:sz="0" w:space="0" w:color="auto"/>
              </w:divBdr>
            </w:div>
            <w:div w:id="303050280">
              <w:marLeft w:val="0"/>
              <w:marRight w:val="0"/>
              <w:marTop w:val="0"/>
              <w:marBottom w:val="0"/>
              <w:divBdr>
                <w:top w:val="none" w:sz="0" w:space="0" w:color="auto"/>
                <w:left w:val="none" w:sz="0" w:space="0" w:color="auto"/>
                <w:bottom w:val="none" w:sz="0" w:space="0" w:color="auto"/>
                <w:right w:val="none" w:sz="0" w:space="0" w:color="auto"/>
              </w:divBdr>
            </w:div>
            <w:div w:id="1212031910">
              <w:marLeft w:val="0"/>
              <w:marRight w:val="0"/>
              <w:marTop w:val="0"/>
              <w:marBottom w:val="0"/>
              <w:divBdr>
                <w:top w:val="none" w:sz="0" w:space="0" w:color="auto"/>
                <w:left w:val="none" w:sz="0" w:space="0" w:color="auto"/>
                <w:bottom w:val="none" w:sz="0" w:space="0" w:color="auto"/>
                <w:right w:val="none" w:sz="0" w:space="0" w:color="auto"/>
              </w:divBdr>
            </w:div>
            <w:div w:id="452214016">
              <w:marLeft w:val="0"/>
              <w:marRight w:val="0"/>
              <w:marTop w:val="0"/>
              <w:marBottom w:val="0"/>
              <w:divBdr>
                <w:top w:val="none" w:sz="0" w:space="0" w:color="auto"/>
                <w:left w:val="none" w:sz="0" w:space="0" w:color="auto"/>
                <w:bottom w:val="none" w:sz="0" w:space="0" w:color="auto"/>
                <w:right w:val="none" w:sz="0" w:space="0" w:color="auto"/>
              </w:divBdr>
            </w:div>
            <w:div w:id="1152720389">
              <w:marLeft w:val="0"/>
              <w:marRight w:val="0"/>
              <w:marTop w:val="0"/>
              <w:marBottom w:val="0"/>
              <w:divBdr>
                <w:top w:val="none" w:sz="0" w:space="0" w:color="auto"/>
                <w:left w:val="none" w:sz="0" w:space="0" w:color="auto"/>
                <w:bottom w:val="none" w:sz="0" w:space="0" w:color="auto"/>
                <w:right w:val="none" w:sz="0" w:space="0" w:color="auto"/>
              </w:divBdr>
            </w:div>
            <w:div w:id="860708989">
              <w:marLeft w:val="0"/>
              <w:marRight w:val="0"/>
              <w:marTop w:val="0"/>
              <w:marBottom w:val="0"/>
              <w:divBdr>
                <w:top w:val="none" w:sz="0" w:space="0" w:color="auto"/>
                <w:left w:val="none" w:sz="0" w:space="0" w:color="auto"/>
                <w:bottom w:val="none" w:sz="0" w:space="0" w:color="auto"/>
                <w:right w:val="none" w:sz="0" w:space="0" w:color="auto"/>
              </w:divBdr>
            </w:div>
            <w:div w:id="1241328678">
              <w:marLeft w:val="0"/>
              <w:marRight w:val="0"/>
              <w:marTop w:val="0"/>
              <w:marBottom w:val="0"/>
              <w:divBdr>
                <w:top w:val="none" w:sz="0" w:space="0" w:color="auto"/>
                <w:left w:val="none" w:sz="0" w:space="0" w:color="auto"/>
                <w:bottom w:val="none" w:sz="0" w:space="0" w:color="auto"/>
                <w:right w:val="none" w:sz="0" w:space="0" w:color="auto"/>
              </w:divBdr>
            </w:div>
            <w:div w:id="867766544">
              <w:marLeft w:val="0"/>
              <w:marRight w:val="0"/>
              <w:marTop w:val="0"/>
              <w:marBottom w:val="0"/>
              <w:divBdr>
                <w:top w:val="none" w:sz="0" w:space="0" w:color="auto"/>
                <w:left w:val="none" w:sz="0" w:space="0" w:color="auto"/>
                <w:bottom w:val="none" w:sz="0" w:space="0" w:color="auto"/>
                <w:right w:val="none" w:sz="0" w:space="0" w:color="auto"/>
              </w:divBdr>
            </w:div>
            <w:div w:id="1844122175">
              <w:marLeft w:val="0"/>
              <w:marRight w:val="0"/>
              <w:marTop w:val="0"/>
              <w:marBottom w:val="0"/>
              <w:divBdr>
                <w:top w:val="none" w:sz="0" w:space="0" w:color="auto"/>
                <w:left w:val="none" w:sz="0" w:space="0" w:color="auto"/>
                <w:bottom w:val="none" w:sz="0" w:space="0" w:color="auto"/>
                <w:right w:val="none" w:sz="0" w:space="0" w:color="auto"/>
              </w:divBdr>
              <w:divsChild>
                <w:div w:id="255792931">
                  <w:marLeft w:val="0"/>
                  <w:marRight w:val="0"/>
                  <w:marTop w:val="0"/>
                  <w:marBottom w:val="0"/>
                  <w:divBdr>
                    <w:top w:val="none" w:sz="0" w:space="0" w:color="auto"/>
                    <w:left w:val="none" w:sz="0" w:space="0" w:color="auto"/>
                    <w:bottom w:val="none" w:sz="0" w:space="0" w:color="auto"/>
                    <w:right w:val="none" w:sz="0" w:space="0" w:color="auto"/>
                  </w:divBdr>
                </w:div>
                <w:div w:id="1112629401">
                  <w:marLeft w:val="0"/>
                  <w:marRight w:val="0"/>
                  <w:marTop w:val="0"/>
                  <w:marBottom w:val="0"/>
                  <w:divBdr>
                    <w:top w:val="single" w:sz="12" w:space="0" w:color="000000"/>
                    <w:left w:val="single" w:sz="12" w:space="0" w:color="000000"/>
                    <w:bottom w:val="single" w:sz="12" w:space="0" w:color="000000"/>
                    <w:right w:val="single" w:sz="12" w:space="0" w:color="000000"/>
                  </w:divBdr>
                </w:div>
                <w:div w:id="1699349047">
                  <w:marLeft w:val="0"/>
                  <w:marRight w:val="0"/>
                  <w:marTop w:val="0"/>
                  <w:marBottom w:val="0"/>
                  <w:divBdr>
                    <w:top w:val="none" w:sz="0" w:space="0" w:color="auto"/>
                    <w:left w:val="none" w:sz="0" w:space="0" w:color="auto"/>
                    <w:bottom w:val="none" w:sz="0" w:space="0" w:color="auto"/>
                    <w:right w:val="none" w:sz="0" w:space="0" w:color="auto"/>
                  </w:divBdr>
                </w:div>
              </w:divsChild>
            </w:div>
            <w:div w:id="157354472">
              <w:marLeft w:val="0"/>
              <w:marRight w:val="0"/>
              <w:marTop w:val="0"/>
              <w:marBottom w:val="0"/>
              <w:divBdr>
                <w:top w:val="none" w:sz="0" w:space="0" w:color="auto"/>
                <w:left w:val="none" w:sz="0" w:space="0" w:color="auto"/>
                <w:bottom w:val="none" w:sz="0" w:space="0" w:color="auto"/>
                <w:right w:val="none" w:sz="0" w:space="0" w:color="auto"/>
              </w:divBdr>
            </w:div>
            <w:div w:id="429551739">
              <w:marLeft w:val="0"/>
              <w:marRight w:val="0"/>
              <w:marTop w:val="0"/>
              <w:marBottom w:val="0"/>
              <w:divBdr>
                <w:top w:val="none" w:sz="0" w:space="0" w:color="auto"/>
                <w:left w:val="none" w:sz="0" w:space="0" w:color="auto"/>
                <w:bottom w:val="none" w:sz="0" w:space="0" w:color="auto"/>
                <w:right w:val="none" w:sz="0" w:space="0" w:color="auto"/>
              </w:divBdr>
            </w:div>
            <w:div w:id="1078400072">
              <w:marLeft w:val="0"/>
              <w:marRight w:val="0"/>
              <w:marTop w:val="0"/>
              <w:marBottom w:val="0"/>
              <w:divBdr>
                <w:top w:val="none" w:sz="0" w:space="0" w:color="auto"/>
                <w:left w:val="none" w:sz="0" w:space="0" w:color="auto"/>
                <w:bottom w:val="none" w:sz="0" w:space="0" w:color="auto"/>
                <w:right w:val="none" w:sz="0" w:space="0" w:color="auto"/>
              </w:divBdr>
            </w:div>
            <w:div w:id="438139367">
              <w:marLeft w:val="0"/>
              <w:marRight w:val="0"/>
              <w:marTop w:val="0"/>
              <w:marBottom w:val="0"/>
              <w:divBdr>
                <w:top w:val="none" w:sz="0" w:space="0" w:color="auto"/>
                <w:left w:val="none" w:sz="0" w:space="0" w:color="auto"/>
                <w:bottom w:val="none" w:sz="0" w:space="0" w:color="auto"/>
                <w:right w:val="none" w:sz="0" w:space="0" w:color="auto"/>
              </w:divBdr>
            </w:div>
            <w:div w:id="816070371">
              <w:marLeft w:val="0"/>
              <w:marRight w:val="0"/>
              <w:marTop w:val="0"/>
              <w:marBottom w:val="0"/>
              <w:divBdr>
                <w:top w:val="none" w:sz="0" w:space="0" w:color="auto"/>
                <w:left w:val="none" w:sz="0" w:space="0" w:color="auto"/>
                <w:bottom w:val="none" w:sz="0" w:space="0" w:color="auto"/>
                <w:right w:val="none" w:sz="0" w:space="0" w:color="auto"/>
              </w:divBdr>
            </w:div>
            <w:div w:id="922682639">
              <w:marLeft w:val="0"/>
              <w:marRight w:val="0"/>
              <w:marTop w:val="0"/>
              <w:marBottom w:val="0"/>
              <w:divBdr>
                <w:top w:val="none" w:sz="0" w:space="0" w:color="auto"/>
                <w:left w:val="none" w:sz="0" w:space="0" w:color="auto"/>
                <w:bottom w:val="none" w:sz="0" w:space="0" w:color="auto"/>
                <w:right w:val="none" w:sz="0" w:space="0" w:color="auto"/>
              </w:divBdr>
            </w:div>
            <w:div w:id="374157881">
              <w:marLeft w:val="0"/>
              <w:marRight w:val="0"/>
              <w:marTop w:val="0"/>
              <w:marBottom w:val="0"/>
              <w:divBdr>
                <w:top w:val="none" w:sz="0" w:space="0" w:color="auto"/>
                <w:left w:val="none" w:sz="0" w:space="0" w:color="auto"/>
                <w:bottom w:val="none" w:sz="0" w:space="0" w:color="auto"/>
                <w:right w:val="none" w:sz="0" w:space="0" w:color="auto"/>
              </w:divBdr>
            </w:div>
            <w:div w:id="1518688594">
              <w:marLeft w:val="0"/>
              <w:marRight w:val="0"/>
              <w:marTop w:val="0"/>
              <w:marBottom w:val="0"/>
              <w:divBdr>
                <w:top w:val="none" w:sz="0" w:space="0" w:color="auto"/>
                <w:left w:val="none" w:sz="0" w:space="0" w:color="auto"/>
                <w:bottom w:val="none" w:sz="0" w:space="0" w:color="auto"/>
                <w:right w:val="none" w:sz="0" w:space="0" w:color="auto"/>
              </w:divBdr>
            </w:div>
            <w:div w:id="1146094618">
              <w:marLeft w:val="0"/>
              <w:marRight w:val="0"/>
              <w:marTop w:val="0"/>
              <w:marBottom w:val="0"/>
              <w:divBdr>
                <w:top w:val="none" w:sz="0" w:space="0" w:color="auto"/>
                <w:left w:val="none" w:sz="0" w:space="0" w:color="auto"/>
                <w:bottom w:val="none" w:sz="0" w:space="0" w:color="auto"/>
                <w:right w:val="none" w:sz="0" w:space="0" w:color="auto"/>
              </w:divBdr>
            </w:div>
            <w:div w:id="1145662646">
              <w:marLeft w:val="0"/>
              <w:marRight w:val="0"/>
              <w:marTop w:val="0"/>
              <w:marBottom w:val="0"/>
              <w:divBdr>
                <w:top w:val="none" w:sz="0" w:space="0" w:color="auto"/>
                <w:left w:val="none" w:sz="0" w:space="0" w:color="auto"/>
                <w:bottom w:val="none" w:sz="0" w:space="0" w:color="auto"/>
                <w:right w:val="none" w:sz="0" w:space="0" w:color="auto"/>
              </w:divBdr>
              <w:divsChild>
                <w:div w:id="785389134">
                  <w:marLeft w:val="0"/>
                  <w:marRight w:val="0"/>
                  <w:marTop w:val="0"/>
                  <w:marBottom w:val="0"/>
                  <w:divBdr>
                    <w:top w:val="single" w:sz="12" w:space="0" w:color="000000"/>
                    <w:left w:val="single" w:sz="12" w:space="0" w:color="000000"/>
                    <w:bottom w:val="single" w:sz="12" w:space="0" w:color="000000"/>
                    <w:right w:val="single" w:sz="12" w:space="0" w:color="000000"/>
                  </w:divBdr>
                </w:div>
                <w:div w:id="88271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7dd21ab448f61f3c8343b54193fe0b72&amp;node=40:7.0.1.1.1.1&amp;rgn=div6" TargetMode="External"/><Relationship Id="rId18" Type="http://schemas.openxmlformats.org/officeDocument/2006/relationships/hyperlink" Target="http://www.ecfr.gov/cgi-bin/text-idx?SID=7dd21ab448f61f3c8343b54193fe0b72&amp;node=40:7.0.1.1.1.1&amp;rgn=div6" TargetMode="External"/><Relationship Id="rId26" Type="http://schemas.openxmlformats.org/officeDocument/2006/relationships/hyperlink" Target="http://www.ecfr.gov/cgi-bin/text-idx?SID=7dd21ab448f61f3c8343b54193fe0b72&amp;node=40:7.0.1.1.1.1&amp;rgn=div6" TargetMode="External"/><Relationship Id="rId39" Type="http://schemas.openxmlformats.org/officeDocument/2006/relationships/hyperlink" Target="http://www.ecfr.gov/cgi-bin/text-idx?SID=7dd21ab448f61f3c8343b54193fe0b72&amp;node=40:7.0.1.1.1.1&amp;rgn=div6" TargetMode="External"/><Relationship Id="rId21" Type="http://schemas.openxmlformats.org/officeDocument/2006/relationships/hyperlink" Target="http://www.ecfr.gov/cgi-bin/text-idx?SID=7dd21ab448f61f3c8343b54193fe0b72&amp;node=40:7.0.1.1.1.1&amp;rgn=div6" TargetMode="External"/><Relationship Id="rId34" Type="http://schemas.openxmlformats.org/officeDocument/2006/relationships/hyperlink" Target="http://www.ecfr.gov/cgi-bin/text-idx?SID=7dd21ab448f61f3c8343b54193fe0b72&amp;node=40:7.0.1.1.1.1&amp;rgn=div6" TargetMode="External"/><Relationship Id="rId42" Type="http://schemas.openxmlformats.org/officeDocument/2006/relationships/hyperlink" Target="http://www.ecfr.gov/cgi-bin/text-idx?SID=7dd21ab448f61f3c8343b54193fe0b72&amp;node=40:7.0.1.1.1.1&amp;rgn=div6" TargetMode="External"/><Relationship Id="rId47" Type="http://schemas.openxmlformats.org/officeDocument/2006/relationships/hyperlink" Target="http://www.ecfr.gov/cgi-bin/text-idx?SID=7dd21ab448f61f3c8343b54193fe0b72&amp;node=40:7.0.1.1.1.1&amp;rgn=div6" TargetMode="External"/><Relationship Id="rId50" Type="http://schemas.openxmlformats.org/officeDocument/2006/relationships/hyperlink" Target="http://www.ecfr.gov/graphics/pdfs/ec01jn92.008.pdf" TargetMode="External"/><Relationship Id="rId55" Type="http://schemas.openxmlformats.org/officeDocument/2006/relationships/hyperlink" Target="http://www.ecfr.gov/cgi-bin/text-idx?SID=7dd21ab448f61f3c8343b54193fe0b72&amp;node=40:7.0.1.1.1.1&amp;rgn=div6" TargetMode="External"/><Relationship Id="rId7" Type="http://schemas.openxmlformats.org/officeDocument/2006/relationships/hyperlink" Target="http://www.ecfr.gov/cgi-bin/retrieveECFR?gp=&amp;SID=7dd21ab448f61f3c8343b54193fe0b72&amp;r=SUBPART&amp;n=40y7.0.1.1.1.2" TargetMode="External"/><Relationship Id="rId2" Type="http://schemas.openxmlformats.org/officeDocument/2006/relationships/styles" Target="styles.xml"/><Relationship Id="rId16" Type="http://schemas.openxmlformats.org/officeDocument/2006/relationships/hyperlink" Target="http://www.ecfr.gov/cgi-bin/text-idx?SID=7dd21ab448f61f3c8343b54193fe0b72&amp;node=40:7.0.1.1.1.1&amp;rgn=div6" TargetMode="External"/><Relationship Id="rId20" Type="http://schemas.openxmlformats.org/officeDocument/2006/relationships/hyperlink" Target="http://www.ecfr.gov/cgi-bin/text-idx?SID=7dd21ab448f61f3c8343b54193fe0b72&amp;node=40:7.0.1.1.1.1&amp;rgn=div6" TargetMode="External"/><Relationship Id="rId29" Type="http://schemas.openxmlformats.org/officeDocument/2006/relationships/hyperlink" Target="http://www.ecfr.gov/cgi-bin/text-idx?SID=7dd21ab448f61f3c8343b54193fe0b72&amp;node=40:7.0.1.1.1.1&amp;rgn=div6" TargetMode="External"/><Relationship Id="rId41" Type="http://schemas.openxmlformats.org/officeDocument/2006/relationships/hyperlink" Target="http://www.ecfr.gov/cgi-bin/text-idx?SID=7dd21ab448f61f3c8343b54193fe0b72&amp;node=40:7.0.1.1.1.1&amp;rgn=div6" TargetMode="External"/><Relationship Id="rId54" Type="http://schemas.openxmlformats.org/officeDocument/2006/relationships/hyperlink" Target="http://www.ecfr.gov/graphics/pdfs/er22de08.007.pd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cfr.gov/cgi-bin/text-idx?SID=7dd21ab448f61f3c8343b54193fe0b72&amp;node=40:7.0.1.1.1.1&amp;rgn=div6" TargetMode="External"/><Relationship Id="rId24" Type="http://schemas.openxmlformats.org/officeDocument/2006/relationships/hyperlink" Target="http://www.ecfr.gov/cgi-bin/text-idx?SID=7dd21ab448f61f3c8343b54193fe0b72&amp;node=40:7.0.1.1.1.1&amp;rgn=div6" TargetMode="External"/><Relationship Id="rId32" Type="http://schemas.openxmlformats.org/officeDocument/2006/relationships/hyperlink" Target="http://www.ecfr.gov/cgi-bin/text-idx?SID=7dd21ab448f61f3c8343b54193fe0b72&amp;node=40:7.0.1.1.1.1&amp;rgn=div6" TargetMode="External"/><Relationship Id="rId37" Type="http://schemas.openxmlformats.org/officeDocument/2006/relationships/hyperlink" Target="http://www.ecfr.gov/cgi-bin/text-idx?SID=7dd21ab448f61f3c8343b54193fe0b72&amp;node=40:7.0.1.1.1.1&amp;rgn=div6" TargetMode="External"/><Relationship Id="rId40" Type="http://schemas.openxmlformats.org/officeDocument/2006/relationships/hyperlink" Target="http://www.ecfr.gov/cgi-bin/text-idx?SID=7dd21ab448f61f3c8343b54193fe0b72&amp;node=40:7.0.1.1.1.1&amp;rgn=div6" TargetMode="External"/><Relationship Id="rId45" Type="http://schemas.openxmlformats.org/officeDocument/2006/relationships/hyperlink" Target="http://www.ecfr.gov/cgi-bin/text-idx?SID=7dd21ab448f61f3c8343b54193fe0b72&amp;node=40:7.0.1.1.1.1&amp;rgn=div6" TargetMode="External"/><Relationship Id="rId53" Type="http://schemas.openxmlformats.org/officeDocument/2006/relationships/image" Target="media/image4.gif"/><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ecfr.gov/cgi-bin/text-idx?SID=7dd21ab448f61f3c8343b54193fe0b72&amp;node=40:7.0.1.1.1.1&amp;rgn=div6" TargetMode="External"/><Relationship Id="rId23" Type="http://schemas.openxmlformats.org/officeDocument/2006/relationships/hyperlink" Target="http://www.ecfr.gov/cgi-bin/text-idx?SID=7dd21ab448f61f3c8343b54193fe0b72&amp;node=40:7.0.1.1.1.1&amp;rgn=div6" TargetMode="External"/><Relationship Id="rId28" Type="http://schemas.openxmlformats.org/officeDocument/2006/relationships/hyperlink" Target="http://www.ecfr.gov/cgi-bin/text-idx?SID=7dd21ab448f61f3c8343b54193fe0b72&amp;node=40:7.0.1.1.1.1&amp;rgn=div6" TargetMode="External"/><Relationship Id="rId36" Type="http://schemas.openxmlformats.org/officeDocument/2006/relationships/hyperlink" Target="http://www.ecfr.gov/cgi-bin/text-idx?SID=7dd21ab448f61f3c8343b54193fe0b72&amp;node=40:7.0.1.1.1.1&amp;rgn=div6" TargetMode="External"/><Relationship Id="rId49" Type="http://schemas.openxmlformats.org/officeDocument/2006/relationships/image" Target="media/image2.gif"/><Relationship Id="rId57" Type="http://schemas.openxmlformats.org/officeDocument/2006/relationships/hyperlink" Target="http://www.ecfr.gov/cgi-bin/text-idx?SID=7dd21ab448f61f3c8343b54193fe0b72&amp;node=40:7.0.1.1.1.1&amp;rgn=div6" TargetMode="External"/><Relationship Id="rId61" Type="http://schemas.openxmlformats.org/officeDocument/2006/relationships/theme" Target="theme/theme1.xml"/><Relationship Id="rId10" Type="http://schemas.openxmlformats.org/officeDocument/2006/relationships/hyperlink" Target="http://www.ecfr.gov/cgi-bin/text-idx?SID=7dd21ab448f61f3c8343b54193fe0b72&amp;node=40:7.0.1.1.1.1&amp;rgn=div6" TargetMode="External"/><Relationship Id="rId19" Type="http://schemas.openxmlformats.org/officeDocument/2006/relationships/hyperlink" Target="http://www.ecfr.gov/cgi-bin/text-idx?SID=7dd21ab448f61f3c8343b54193fe0b72&amp;node=40:7.0.1.1.1.1&amp;rgn=div6" TargetMode="External"/><Relationship Id="rId31" Type="http://schemas.openxmlformats.org/officeDocument/2006/relationships/image" Target="media/image1.gif"/><Relationship Id="rId44" Type="http://schemas.openxmlformats.org/officeDocument/2006/relationships/hyperlink" Target="http://www.ecfr.gov/cgi-bin/text-idx?SID=7dd21ab448f61f3c8343b54193fe0b72&amp;node=40:7.0.1.1.1.1&amp;rgn=div6" TargetMode="External"/><Relationship Id="rId52" Type="http://schemas.openxmlformats.org/officeDocument/2006/relationships/hyperlink" Target="http://www.ecfr.gov/graphics/pdfs/ec01jn92.009.pdf"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cfr.gov/cgi-bin/text-idx?SID=7dd21ab448f61f3c8343b54193fe0b72&amp;node=40:7.0.1.1.1.1&amp;rgn=div6" TargetMode="External"/><Relationship Id="rId14" Type="http://schemas.openxmlformats.org/officeDocument/2006/relationships/hyperlink" Target="http://www.ecfr.gov/cgi-bin/text-idx?SID=7dd21ab448f61f3c8343b54193fe0b72&amp;node=40:7.0.1.1.1.1&amp;rgn=div6" TargetMode="External"/><Relationship Id="rId22" Type="http://schemas.openxmlformats.org/officeDocument/2006/relationships/hyperlink" Target="http://www.ecfr.gov/cgi-bin/text-idx?SID=7dd21ab448f61f3c8343b54193fe0b72&amp;node=40:7.0.1.1.1.1&amp;rgn=div6" TargetMode="External"/><Relationship Id="rId27" Type="http://schemas.openxmlformats.org/officeDocument/2006/relationships/hyperlink" Target="http://www.ecfr.gov/cgi-bin/text-idx?SID=7dd21ab448f61f3c8343b54193fe0b72&amp;node=40:7.0.1.1.1.1&amp;rgn=div6" TargetMode="External"/><Relationship Id="rId30" Type="http://schemas.openxmlformats.org/officeDocument/2006/relationships/hyperlink" Target="http://www.ecfr.gov/cgi-bin/text-idx?SID=7dd21ab448f61f3c8343b54193fe0b72&amp;node=40:7.0.1.1.1.1&amp;rgn=div6#_top" TargetMode="External"/><Relationship Id="rId35" Type="http://schemas.openxmlformats.org/officeDocument/2006/relationships/hyperlink" Target="http://www.ecfr.gov/cgi-bin/text-idx?SID=7dd21ab448f61f3c8343b54193fe0b72&amp;node=40:7.0.1.1.1.1&amp;rgn=div6" TargetMode="External"/><Relationship Id="rId43" Type="http://schemas.openxmlformats.org/officeDocument/2006/relationships/hyperlink" Target="http://www.ecfr.gov/cgi-bin/text-idx?SID=7dd21ab448f61f3c8343b54193fe0b72&amp;node=40:7.0.1.1.1.1&amp;rgn=div6" TargetMode="External"/><Relationship Id="rId48" Type="http://schemas.openxmlformats.org/officeDocument/2006/relationships/hyperlink" Target="http://www.ecfr.gov/cgi-bin/text-idx?SID=7dd21ab448f61f3c8343b54193fe0b72&amp;node=40:7.0.1.1.1.1&amp;rgn=div6" TargetMode="External"/><Relationship Id="rId56" Type="http://schemas.openxmlformats.org/officeDocument/2006/relationships/hyperlink" Target="http://www.ecfr.gov/cgi-bin/text-idx?SID=7dd21ab448f61f3c8343b54193fe0b72&amp;node=40:7.0.1.1.1.1&amp;rgn=div6" TargetMode="External"/><Relationship Id="rId8" Type="http://schemas.openxmlformats.org/officeDocument/2006/relationships/hyperlink" Target="http://www.ecfr.gov/cgi-bin/retrieveECFR?gp=&amp;SID=7dd21ab448f61f3c8343b54193fe0b72&amp;n=40y7.0.1.1.1&amp;r=PART&amp;ty=HTML" TargetMode="External"/><Relationship Id="rId51" Type="http://schemas.openxmlformats.org/officeDocument/2006/relationships/image" Target="media/image3.gif"/><Relationship Id="rId3" Type="http://schemas.openxmlformats.org/officeDocument/2006/relationships/settings" Target="settings.xml"/><Relationship Id="rId12" Type="http://schemas.openxmlformats.org/officeDocument/2006/relationships/hyperlink" Target="http://www.ecfr.gov/cgi-bin/text-idx?SID=7dd21ab448f61f3c8343b54193fe0b72&amp;node=40:7.0.1.1.1.1&amp;rgn=div6" TargetMode="External"/><Relationship Id="rId17" Type="http://schemas.openxmlformats.org/officeDocument/2006/relationships/hyperlink" Target="http://www.ecfr.gov/cgi-bin/text-idx?SID=7dd21ab448f61f3c8343b54193fe0b72&amp;node=40:7.0.1.1.1.1&amp;rgn=div6" TargetMode="External"/><Relationship Id="rId25" Type="http://schemas.openxmlformats.org/officeDocument/2006/relationships/hyperlink" Target="http://www.ecfr.gov/cgi-bin/text-idx?SID=7dd21ab448f61f3c8343b54193fe0b72&amp;node=40:7.0.1.1.1.1&amp;rgn=div6" TargetMode="External"/><Relationship Id="rId33" Type="http://schemas.openxmlformats.org/officeDocument/2006/relationships/hyperlink" Target="http://www.ecfr.gov/cgi-bin/text-idx?SID=7dd21ab448f61f3c8343b54193fe0b72&amp;node=40:7.0.1.1.1.1&amp;rgn=div6" TargetMode="External"/><Relationship Id="rId38" Type="http://schemas.openxmlformats.org/officeDocument/2006/relationships/hyperlink" Target="http://www.ecfr.gov/cgi-bin/text-idx?SID=7dd21ab448f61f3c8343b54193fe0b72&amp;node=40:7.0.1.1.1.1&amp;rgn=div6" TargetMode="External"/><Relationship Id="rId46" Type="http://schemas.openxmlformats.org/officeDocument/2006/relationships/hyperlink" Target="http://www.ecfr.gov/cgi-bin/text-idx?SID=7dd21ab448f61f3c8343b54193fe0b72&amp;node=40:7.0.1.1.1.1&amp;rgn=div6"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6EE7F-536C-4F59-AAFC-F5D57C81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162</Pages>
  <Words>42759</Words>
  <Characters>243732</Characters>
  <Application>Microsoft Office Word</Application>
  <DocSecurity>0</DocSecurity>
  <Lines>2031</Lines>
  <Paragraphs>571</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285920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Enriquez</dc:creator>
  <cp:keywords/>
  <dc:description/>
  <cp:lastModifiedBy>Felton-Smith, Rita</cp:lastModifiedBy>
  <cp:revision>14</cp:revision>
  <dcterms:created xsi:type="dcterms:W3CDTF">2013-05-13T14:28:00Z</dcterms:created>
  <dcterms:modified xsi:type="dcterms:W3CDTF">2014-05-30T19:26:00Z</dcterms:modified>
</cp:coreProperties>
</file>